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ACJC/104/2023 vom 24. Januar 2023</w:t>
      </w:r>
    </w:p>
    <w:p>
      <w:r>
        <w:t>GE Cour de justice, 2023-01-24, FR</w:t>
      </w:r>
    </w:p>
    <w:p>
      <w:r>
        <w:rPr>
          <w:b/>
        </w:rPr>
        <w:t xml:space="preserve">Quelle: </w:t>
      </w:r>
      <w:r>
        <w:t>https://mcp.opencaselaw.ch/entscheid/ge_gerichte_ACJC_104_2023</w:t>
      </w:r>
    </w:p>
    <w:p>
      <w:r>
        <w:t>FR: GE_GERICHTE ACJC/104/2023 du 24 janvier 2023</w:t>
      </w:r>
    </w:p>
    <w:p>
      <w:r>
        <w:t>IT: GE_GERICHTE ACJC/104/2023 del 24 gennaio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t>- 14/28 -</w:t>
      </w:r>
    </w:p>
    <w:p>
      <w:r>
        <w:t>C/5852/2021</w:t>
      </w:r>
    </w:p>
    <w:p>
      <w:r>
        <w:rPr>
          <w:b/>
        </w:rPr>
        <w:t>E. 1.2</w:t>
      </w:r>
    </w:p>
    <w:p>
      <w:r>
        <w:t>Interjeté dans le délai (art. 142 al. 1 et 3, 145 al. 1 let. a et 311 al. 1 CPC) et selon la forme prescrits par la loi (art. 130, 131, 145 al. 1 let. b et 311 al. 1 CPC), l'appel est recevable.</w:t>
      </w:r>
    </w:p>
    <w:p>
      <w:r>
        <w:rPr>
          <w:b/>
        </w:rPr>
        <w:t>E. 2</w:t>
      </w:r>
    </w:p>
    <w:p>
      <w:r>
        <w:t>2.1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Il incombe ainsi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1er septembre 2014 consid. 5; 5A_89/2014 du 15 avril 2015 consid. 5.3.2).</w:t>
      </w:r>
    </w:p>
    <w:p>
      <w:r>
        <w:rPr>
          <w:b/>
        </w:rPr>
        <w:t>E. 2.2</w:t>
      </w:r>
    </w:p>
    <w:p>
      <w:r>
        <w:t>La présente cause est soumise aux maximes d'office et inquisitoire illimitée en tant qu'elle concerne les droits parentaux et la contribution d'entretien de l'enfant mineure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La maxime de disposition (art. 58 al. 1 CPC) et la maxime des débats atténuée (art. 55 al. 1, 277 al. 1 et 2 CPC) s’appliquent à la procédure concernant les contributions d’entretien post-divorce et le régime matrimonial. La maxime des débats atténuée ne dispense par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w:t>
      </w:r>
    </w:p>
    <w:p>
      <w:r>
        <w:rPr>
          <w:b/>
        </w:rPr>
        <w:t>E. 3</w:t>
      </w:r>
    </w:p>
    <w:p>
      <w:r>
        <w:t>L'appelante produit des pièces nouvelles devant la Cour. Elle prend des conclusions nouvelles au sujet de la liquidation du régime matrimonial.</w:t>
      </w:r>
    </w:p>
    <w:p>
      <w:r>
        <w:rPr>
          <w:b/>
        </w:rPr>
        <w:t>E. 3.1</w:t>
      </w:r>
    </w:p>
    <w:p>
      <w:r>
        <w:t>Selon l'art. 317 al. 1 CPC, les faits et les moyens de preuve nouveaux ne sont pris en considération en appel que s'ils sont invoqués ou produits sans retard</w:t>
      </w:r>
    </w:p>
    <w:p>
      <w:r>
        <w:t>- 15/28 -</w:t>
      </w:r>
    </w:p>
    <w:p>
      <w:r>
        <w:t>C/5852/2021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w:t>
      </w:r>
    </w:p>
    <w:p>
      <w:r>
        <w:t>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3.2</w:t>
      </w:r>
    </w:p>
    <w:p>
      <w:r>
        <w:t>En l'espèce, les pièces nouvelles de l'appelante relatives à sa formation professionnelle (pièces B et C et annexe à son écriture du 29 novembre 2022) sont susceptibles d'influencer la fixation de la contribution qu'elle réclame pour l'entretien de sa fille mineure. La pièce nouvelle E que l'appelante produit avec sa réplique semble dater d'août 2022 et concerner la relation parents/enfants. La maxime inquisitoire illimitée étant applicable, lesdites pièces sont recevables, ainsi que les faits qu'elles visent, qui ont été intégrés dans la mesure utile dans la partie "En fait" ci-dessus. L'appelante produit sa pièce nouvelle D, datée du 12 juin 2019, uniquement en relation avec la liquidation du régime matrimonial, aspect soumis aux règles générales de l'art. 317 al. 1 CPC. L'appelante n'explique pas pour quelle raison</w:t>
      </w:r>
    </w:p>
    <w:p>
      <w:r>
        <w:t>- 16/28 -</w:t>
      </w:r>
    </w:p>
    <w:p>
      <w:r>
        <w:t>C/5852/2021 elle n'aurait pas pu produire cette pièce en première instance. Ce document, qui d'ailleurs n'indique pas que les soins dentaires auraient été prodigués à la fille aînée des parties, n'est pas recevable, comme les faits qu'elle vise. Aucune allégation au sujet des bijoux que l'appelante qualifie de biens propres devant la Cour ne figurait dans ses écritures de première instance. Même s'ils pouvaient être reconstitués par l'étude de la pièce 29 de l'appelante, ces faits ne seraient pas valablement introduits dans le procès. Allégués pour la première fois en appel, ces faits sont donc nouveaux et partant irrecevables. L'appelante ne conteste d'ailleurs pas qu'en relation avec la liquidation du régime matrimonial, elle a conclu en dernier lieu en première instance à ce que celui-ci soit considéré comme liquidé après partage de la garantie de loyer relative au domicile conjugal. Elle ne faisait valoir aucune prétention personnelle, mais se bornait à contester celles de l'intimé. Ainsi, ses conclusions relatives à la liquidation du régime matrimonial ne sont pas recevables en tant qu'elles diffèrent de celles qu'elle a prises en première instance.</w:t>
      </w:r>
    </w:p>
    <w:p>
      <w:r>
        <w:rPr>
          <w:b/>
        </w:rPr>
        <w:t>E. 4</w:t>
      </w:r>
    </w:p>
    <w:p>
      <w:r>
        <w:t>L'appelante fait grief au Tribunal de ne pas avoir instauré la garde partagée sur sa fille F______, subsidiairement de ne pas lui avoir réservé un droit de visite plus large sur celle-ci, alors que sa relation avec l'enfant s'est améliorée. L'appelante réclame au père une contribution de 300 fr. à l'entretien de F______ tant en cas de garde alternée que d'élargissement de son droit de visite. Elle conclut à l'attribution à elle-même des allocations familiales de F______ et de la totalité de la bonification pour tâches éducatives et à ce qu'il soit dit que l'enfant est domiciliée chez elle.</w:t>
      </w:r>
    </w:p>
    <w:p>
      <w:r>
        <w:rPr>
          <w:b/>
        </w:rPr>
        <w:t>E. 4.1.1</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w:t>
      </w:r>
    </w:p>
    <w:p>
      <w:r>
        <w:t>- 17/28 -</w:t>
      </w:r>
    </w:p>
    <w:p>
      <w:r>
        <w:t>C/5852/2021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5A_682/2020 du 21 juin 2021 consid. 2.1; 5A_844/2019 du 17 septembre 2020 consid. 3.2.2).</w:t>
      </w:r>
    </w:p>
    <w:p>
      <w:r>
        <w:rPr>
          <w:b/>
        </w:rPr>
        <w:t>E. 4.1.2</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w:t>
      </w:r>
    </w:p>
    <w:p>
      <w:r>
        <w:t>- 18/28 -</w:t>
      </w:r>
    </w:p>
    <w:p>
      <w:r>
        <w:t>C/5852/2021</w:t>
      </w:r>
    </w:p>
    <w:p>
      <w:r>
        <w:rPr>
          <w:b/>
        </w:rPr>
        <w:t>E. 4.1.3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1er septembre 2020 consid. 4.1). Le juge n'est pas lié par les conclusions du SEASP. Le rapport de ce service (lequel constitue une preuve au sens des art. 168 et 190 CPC) est soumis, à l'instar des autres preuves, au principe de la libre appréciation consacrée par l'art. 157 CPC.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(ACJC/256/2021 du 2 mars 2021 consid. 6.1.2; ACJC/826/2020 du 16 juin 2020 consid. 2.1.2; ACJC/1311/2017 du 11 octobre 2017 consid. 3.1.2).</w:t>
      </w:r>
    </w:p>
    <w:p>
      <w:r>
        <w:rPr>
          <w:b/>
        </w:rPr>
        <w:t>E. 4.1.4</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Les allocations familiales faisant partie des revenus de l'enfant, elles doivent être payées en sus de la contribution d'entretien lorsqu'elles sont versées à la personne tenue de pourvoir à l'entretien de l'enfant (art. 285a al. 1 CC).</w:t>
      </w:r>
    </w:p>
    <w:p>
      <w:r>
        <w:rPr>
          <w:b/>
        </w:rPr>
        <w:t>E. 4.1.5</w:t>
      </w:r>
    </w:p>
    <w:p>
      <w:r>
        <w:t>Selon l'art. 25 al. 1 première phrase CC, l'enfant sous autorité parentale partage le domicile de ses père et mère ou, en l'absence de domicile commun des père et mère, le domicile de celui de ses parents qui détient la garde.</w:t>
      </w:r>
    </w:p>
    <w:p>
      <w:r>
        <w:rPr>
          <w:b/>
        </w:rPr>
        <w:t>E. 4.1.6</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w:t>
      </w:r>
    </w:p>
    <w:p>
      <w:r>
        <w:t>- 19/28 -</w:t>
      </w:r>
    </w:p>
    <w:p>
      <w:r>
        <w:t>C/5852/2021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"https://www.ahv-iv.ch/p/1.07.f",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 (ACJC/896/2020 du 23 juin 2020 consid. 4.1; ACJC/1871/2019 du 13 décembre 2019 consid. 7.1).</w:t>
      </w:r>
    </w:p>
    <w:p>
      <w:r>
        <w:rPr>
          <w:b/>
        </w:rPr>
        <w:t>E. 4.2</w:t>
      </w:r>
    </w:p>
    <w:p>
      <w:r>
        <w:t>En l'espèce, le SPMi a constaté en août 2021 que la relation entre les parents était hautement conflictuelle et leur communication insuffisante. Ils entretenaient également d'importantes divergences éducatives. En septembre 2021, le SEASP, se fondant sur les déclarations des parents et des enfants, ainsi que des divers intervenants scolaires, médicaux et sociaux, a relevé que la situation parentale était extrêmement conflictuelle et que ceux-ci se dénigraient mutuellement à propos de leurs capacités parentales. La communication se faisait très difficilement, de sorte que les enfants se retrouvaient à assumer le rôle de messagers, ce qui n'était pas favorable à leur bon développement. L'appelante ne</w:t>
      </w:r>
    </w:p>
    <w:p>
      <w:r>
        <w:t>- 20/28 -</w:t>
      </w:r>
    </w:p>
    <w:p>
      <w:r>
        <w:t>C/5852/2021 remet pas en question les constatations des deux services mentionnés. Elle a d'ailleurs elle-même exposé au SPMi que la communication parentale était largement insuffisante et que l'organisation des parents manquait de précision et d'anticipation. L'incapacité des parents à coopérer pour le bien de leurs enfants rend impossible l'instauration d'une garde alternée sur leur fille F______, ce qui est d'ailleurs corroboré par le rapport d'évaluation sociale du SEASP, auquel il y a lieu de conférer une portée particulière, dans la mesure où il comprend des appréciations subjectives découlant d'une grande expérience en la matière. La mère ne sollicite pas la garde exclusive de F______ et celle-ci, qui vit auprès de son père depuis plus de deux ans, a déclaré au SEASP que l'organisation actuelle lui convient. Dès lors, le jugement attaqué sera confirmé en tant qu'il attribue à l'intimé la garde de F______ (ch. 3 du dispositif).</w:t>
      </w:r>
    </w:p>
    <w:p>
      <w:r>
        <w:rPr>
          <w:b/>
        </w:rPr>
        <w:t>E. 4.2.1</w:t>
      </w:r>
    </w:p>
    <w:p>
      <w:r>
        <w:t>Dans la mesure où ses parents n'ont plus de domicile commun, le domicile de F______ est celui de son père, qui en a la garde. Le chiffre 4 du dispositif du jugement attaqué sera également confirmé.</w:t>
      </w:r>
    </w:p>
    <w:p>
      <w:r>
        <w:rPr>
          <w:b/>
        </w:rPr>
        <w:t>E. 4.2.2</w:t>
      </w:r>
    </w:p>
    <w:p>
      <w:r>
        <w:t>Le Tribunal n'a pas mésusé de son large pouvoir d'appréciation en suivant les recommandations du SEASP et en réservant à la mère un droit de visite sur sa fille F______ à exercer à raison d'un week-end sur deux du vendredi à 16 heures au lundi à 8 heures, toutes les semaines du mercredi à 11h30 au jeudi à 8 heures et durant la moitié des vacances scolaires. En effet, en prévoyant que le droit de visite du week-end se termine le lundi matin et en ajoutant un après-midi et une nuit par semaine au droit de visite habituellement fixé en Suisse romande, le premier juge a réservé à la mère un droit de visite élargi. Un ultérieur élargissement serait constitutif d'une garde alternée déguisée. Le chiffre 5 du dispositif du jugement attaqué sera donc confirmé.</w:t>
      </w:r>
    </w:p>
    <w:p>
      <w:r>
        <w:rPr>
          <w:b/>
        </w:rPr>
        <w:t>E. 4.2.3</w:t>
      </w:r>
    </w:p>
    <w:p>
      <w:r>
        <w:t>F______ est sous la garde exclusive de son père, qui s'engage à assumer seul les charges effectives de l'enfant, sans réclamer aucune participation à la mère, de sorte que l'intimé ne doit à l'appelante aucune contribution à l'entretien de F______. Pour les mêmes raisons, les allocations familiales de cette dernière reviennent à l'intimé. Les chiffres 13 et 14 du dispositif du jugement attaqué seront ainsi confirmés. Il n'y a pas lieu de faire figurer le montant de l'entretien convenable de F______ dans le dispositif du présent arrêt dès lors que celui-ci est entièrement couvert par le père (cf. art. 286a al. 1 CC et art. 282 al. 1 let. c CPC).</w:t>
      </w:r>
    </w:p>
    <w:p>
      <w:r>
        <w:rPr>
          <w:b/>
        </w:rPr>
        <w:t>E. 4.2.4</w:t>
      </w:r>
    </w:p>
    <w:p>
      <w:r>
        <w:t>L'appelante assume la plus grande partie de la prise en charge de G______ et l'intimé assume la plus grande partie de celle de F______. C'est ainsi à juste titre que le premier juge a prévu que la bonification pour tâches éducatives continuera</w:t>
      </w:r>
    </w:p>
    <w:p>
      <w:r>
        <w:t>- 21/28 -</w:t>
      </w:r>
    </w:p>
    <w:p>
      <w:r>
        <w:t>C/5852/2021 à être partagée par moitié entre les parents, selon le critère de l'attribution de la garde des enfants, parfaitement adapté au cas d'espèce. Il y a donc lieu de confirmer également le chiffre 17 du dispositif du jugement attaqué.</w:t>
      </w:r>
    </w:p>
    <w:p>
      <w:r>
        <w:rPr>
          <w:b/>
        </w:rPr>
        <w:t>E. 5</w:t>
      </w:r>
    </w:p>
    <w:p>
      <w:r>
        <w:t>L'appelante reproche au Tribunal de lui avoir refusé toute contribution après le divorce. Elle conclut à ce que l'intimé soit condamné à lui verser une contribution d'entretien de 880 fr., en faisant valoir que son déficit mensuel de 2'677 fr. 35 devrait être couvert dans la mesure de son disponible par l'intimé "au moins durant une période d'adaptation".</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293 consid. 4.4; 138 III 289 consid. 11.1.2; arrêts du Tribunal fédéral 5A_868/2021 du 14 juin 2022 consid. 3.1; 5A_568/2021 du 25 mars 2022 consid. 4.1 destiné à la publication). La détermination de la contribution d'entretien est laissée, pour une part importante, à l'appréciation du juge du fait, qui applique les règles du droit et de l'équité (art. 4 CC; ATF 134 III 577 consid. 4; arrêts du Tribunal fédéral 5A_868/2021 précité consid. 3.1; 5A_93/2019 du 13 septembre 2021 consid. 3.1; 5A_78/2020 du 5 février 2021 consid. 4.1).</w:t>
      </w:r>
    </w:p>
    <w:p>
      <w:r>
        <w:rPr>
          <w:b/>
        </w:rPr>
        <w:t>E. 5.1.1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ATF 141 III 465 consid. 3.1; arrêts du Tribunal fédéral 5A_868/2021 précité consid. 3.1; 5A_568/2021 précité consid. 4.1; 5A_93/2019 précité consid. 3.1; 5A_78/2020 précité consid. 4.1). Un mariage peut notamment avoir une influence concrète s'il a duré au moins dix ans - période qui se calcule jusqu'à la date de la séparation (ATF 132 III 598 consid. 9.2) - ou, indépendamment de sa durée, si les conjoints ont des enfants communs 5A_93/2019 du 13 septembre 2021 consid. 3.1).</w:t>
      </w:r>
    </w:p>
    <w:p>
      <w:r>
        <w:rPr>
          <w:b/>
        </w:rPr>
        <w:t>E. 5.1.2</w:t>
      </w:r>
    </w:p>
    <w:p>
      <w:r>
        <w:t>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(ré)intégrer sur le marché du travail ou d'étendre une activité lucrative déjà existante. Un conjoint ne peut ainsi prétendre à une contribution</w:t>
      </w:r>
    </w:p>
    <w:p>
      <w:r>
        <w:t>- 22/28 -</w:t>
      </w:r>
    </w:p>
    <w:p>
      <w:r>
        <w:t>C/5852/2021 d'entretien que si, en dépit des efforts que l'on peut raisonnablement attendre de lui, il n'est pas ou pas totalement en mesure de pourvoir lui-même à son entretien convenable (ATF 147 III 249 consid. 3.4.4; 141 III 465 consid. 3.1; 134 III 145 consid. 4; arrêt du Tribunal fédéral 5A_868/2021 précité consid. 3.1). En principe, le devoir de se (ré) intégrer sur le marché du travail ou d'étendre une activité lucrative déjà existante s'impose également dès la séparation lorsque l'on ne peut plus compter sérieusement sur une reprise de la vie commune (ATF 147 III 249 consid. 3.4.4 et les références; arrêts du Tribunal fédéral 5A_868/2021 précité consid. 3.1; 5A_407/2021 du 6 mai 2022 consid. 3.1). Il s'agit d'inciter la personne à réaliser le revenu qu'elle est en mesure de se procurer et qu'on peut raisonnablement exiger d'elle (ATF 143 III 233 consid. 3.2; 137 III 102 consid. 4.2.2.2; arrêt du Tribunal fédéral 5A_484/2020 du 16 février 2021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5A_15/2021 du 25 novembre 2021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144 III 481 consid. 4.6; 129 III 417 consid. 2.2 et la référence citée; arrêt du Tribunal fédéral 5A_253/2020 du 25 mars 2021 consid. 3.1.2).</w:t>
      </w:r>
    </w:p>
    <w:p>
      <w:r>
        <w:rPr>
          <w:b/>
        </w:rPr>
        <w:t>E. 5.1.3</w:t>
      </w:r>
    </w:p>
    <w:p>
      <w:r>
        <w:t>Aux termes de l'art. 58 al. 1 CPC - applicable aux contributions d'entretien faveur du conjoint (cf. consid. 2.2 ci-dessus) - le tribunal ne peut accorder à une partie ni plus ni autre chose que ce qui est demandé.</w:t>
      </w:r>
    </w:p>
    <w:p>
      <w:r>
        <w:rPr>
          <w:b/>
        </w:rPr>
        <w:t>E. 5.2</w:t>
      </w:r>
    </w:p>
    <w:p>
      <w:r>
        <w:t>En l'espèce, le mariage a eu une influence durable sur la situation économique de l'appelante au vu de sa durée et de la naissance de deux enfants. Sur le principe, l'appelante peut donc prétendre au maintien du train de vie mené durant le mariage et, si elle ne peut pourvoir elle-même à ce train de vie, qui constitue la</w:t>
      </w:r>
    </w:p>
    <w:p>
      <w:r>
        <w:t>- 23/28 -</w:t>
      </w:r>
    </w:p>
    <w:p>
      <w:r>
        <w:t>C/5852/2021 limite supérieure de son entretien convenable, exiger de l'intimé qu'il contribue à son entretien pour y parvenir, dans la mesure ou sa situation financière le lui permet. L'appelante, qui a terminé sa formation d'auxiliaire de santé le 8 décembre 2022, n'émet aucune critique à l'encontre des constatations du Tribunal, qui a retenu, sur la base du calculateur statistique de salaires Salarium, qu'elle serait en mesure, en travaillant à 80%, de réaliser un salaire mensuel net de l'ordre de 3'275 fr. dans son domaine de formation. Il se justifie cependant de lui accorder un délai au 31 mars 2023 pour s'adapter à sa nouvelle situation et retrouver un emploi. Il sera souligné que la demande de personnel dans le secteur des soins à domicile ou des services à la personne est notoirement élevée, en raison notamment du vieillissement de la population (cf. https://www.obsan.admin.ch/fr/themes-de- sante/professionnels-de-sante/personnel-soignant; https://www.bilan.ch/story/les- soins-de-longue-duree-deviendront-la-norme-dici-2040-974501457126). Dès qu'elle se sera (ré)intégrée sur le marché du travail, l'appelante ne pourra plus prétendre à une contribution d'entretien, puisqu'elle sera en mesure de pourvoir elle-même à la totalité de son entretien convenable.</w:t>
      </w:r>
    </w:p>
    <w:p>
      <w:r>
        <w:t>Le montant de 880 fr. par mois réclamé par l'appelante à titre de contribution à son entretien ne porte pas atteinte au minimum vital de l'intimé. Il correspond à celui fixé en 2018 sur mesures protectrices et maintenu en juin 2021 sur mesures provisionnelles, d'entente entre les parties. Le jugement attaqué sera donc annulé en tant qu'il déboute l'appelante de toutes conclusions en paiement d'une contribution post-divorce (ch. 26 du dispositif). L'intimé sera condamné à verser à l'appelante, par mois et d'avance, une contribution d'entretien post-divorce de 880 fr. jusqu'au 31 mars 2023.</w:t>
      </w:r>
    </w:p>
    <w:p>
      <w:r>
        <w:rPr>
          <w:b/>
        </w:rPr>
        <w:t>E. 6</w:t>
      </w:r>
    </w:p>
    <w:p>
      <w:r>
        <w:t>L'appelante critique divers points de la liquidation du régime matrimonial opérée par le Tribunal. Elle lui reproche d'avoir pris en compte les montants qu'elle avait perçus du 15 décembre 2020 au 30 avril 2021 à titre de contribution d'entretien et d'allocations familiales pour F______ et d'avoir exclu le montant de 1'600 fr. qu'elle avait versé à l'intimé pour la garde de celle-ci. Elle soutient que le calcul devrait comprendre la "facture de dentiste pour F______" dont elle s'est acquittée en 2019. Elle fait valoir que le montant retenu au titre de son assurance-vie ne reflétait pas "la valeur vénale de l'assurance au 30 mars 2021", mais avait été "arrêté au 1er juin 2021 et en tenant compte d'un montant de CHF 700.- supplémentaire d'intérêt jusqu'au 31 décembre 2021". Dans la mesure où elle avait dépensé le montant perçu pour couvrir son minimum vital, il apparaissait "disproportionné et</w:t>
      </w:r>
    </w:p>
    <w:p>
      <w:r>
        <w:t>- 24/28 -</w:t>
      </w:r>
    </w:p>
    <w:p>
      <w:r>
        <w:t>C/5852/2021 inéquitable" de prendre en compte ledit montant dans le cadre de la liquidation du régime matrimonial. En définitive, l'appelante admet les créances suivantes de l'intimé : 2'571 fr. 60 à titre de partage de la garantie de loyer et 1'345 fr. pour les frais d'assurance- maladie des enfants et les frais dentaires, soit 3'916 fr. 60 au total. Pour sa part, elle fait valoir les créances suivantes : 870 fr. 20 pour les frais de dentiste versés en 2019 pour F______, 1'600 fr. pour "l'enrichissement sans cause" de l'intimé et 2'000 fr. "valant restitution des bijoux listés sous pièce no 29 qui sont des biens propres de Madame A______, prétention non contestée par l'Intimé ni quant au fait qu'il n'a pas restitué ces objets ni quant à leur valeur", soit 4'470 fr. 20. L'appelante soutient ainsi que ses prétentions excèderaient de 553 fr. 50 celles de l'intimé. En équité, elle renonce toutefois à ce montant.</w:t>
      </w:r>
    </w:p>
    <w:p>
      <w:r>
        <w:rPr>
          <w:b/>
        </w:rPr>
        <w:t>E. 6.1</w:t>
      </w:r>
    </w:p>
    <w:p>
      <w:r>
        <w:t>Les époux sont placés sous le régime de la participation aux acquêts, à moins qu'ils n'aient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al. 1 CC). Tout bien d'un époux est présumé acquêt, sauf preuve du contraire (art. 200 al. 3 CC).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Lors de la liquidation du régime matrimonial de la participation aux acquêts, les biens des époux sont estimés à leur valeur vénale (art. 211 CC; ATF 136 III 209 consid. 6.2.1; arrêt du Tribunal fédéral 5A_339/2015 du 18 novembre 2015 consid. 9.3).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136 III 209 consid. 5.2). Si des primes sont versées pour l'assurance-vie - au moyen d'acquêts - entre la dissolution et la liquidation, la valeur de rachat va augmenter. Il ne sera donc pas</w:t>
      </w:r>
    </w:p>
    <w:p>
      <w:r>
        <w:t>- 25/28 -</w:t>
      </w:r>
    </w:p>
    <w:p>
      <w:r>
        <w:t>C/5852/2021 tenu compte de ces primes et de la nouvelle valeur de rachat dans l'estimation des masses déterminantes (ATF 137 III 337 consid. 2.1.2). Ainsi la valeur de l'assurance sur la vie qui doit être prise en compte pour la liquidation du régime matrimonial est la valeur de rachat à la date de la dissolution (cf. ATF 137 III 337 consid. 2.2.2).</w:t>
      </w:r>
    </w:p>
    <w:p>
      <w:r>
        <w:rPr>
          <w:b/>
        </w:rPr>
        <w:t>E. 6.2</w:t>
      </w:r>
    </w:p>
    <w:p>
      <w:r>
        <w:t>En l'espèce, les parties ont été soumises au régime de la participation aux acquêts jusqu'au 30 mars 2021, date du dépôt de la demande unilatérale de divorce formée par l'intimé. Il convient donc de liquider leur régime matrimonial à cette date.</w:t>
      </w:r>
    </w:p>
    <w:p>
      <w:r>
        <w:rPr>
          <w:b/>
        </w:rPr>
        <w:t>E. 6.2.1</w:t>
      </w:r>
    </w:p>
    <w:p>
      <w:r>
        <w:t>L'appelante admet les créances de l'intimé de 2'571 fr. 60 et de 1'345 fr., retenues par le Tribunal. Il n'y a donc pas lieu de s'y attarder.</w:t>
      </w:r>
    </w:p>
    <w:p>
      <w:r>
        <w:rPr>
          <w:b/>
        </w:rPr>
        <w:t>E. 6.2.2</w:t>
      </w:r>
    </w:p>
    <w:p>
      <w:r>
        <w:t>Comme indiqué sous consid. 3.2 ci-dessus, les allégations de l'appelante relatives aux frais de dentiste de F______ et aux bijoux qu'elle a listés sous sa pièce n° 29 sont irrecevables, comme les conclusions nouvelles qu'elle prend dans le cadre de la liquidation du régime matrimonial. Les prétentions nouvelles qu'elle élève en appel (frais de dentiste payés en 2019 pour F______, 1'600 fr. "pour l'enrichissement sans cause" de l'intimé, 2'000 fr. valant restitution des bijoux listés sous pièce n° 29 et/ou restitution de ces bijoux) ne seront donc pas examinées.</w:t>
      </w:r>
    </w:p>
    <w:p>
      <w:r>
        <w:rPr>
          <w:b/>
        </w:rPr>
        <w:t>E. 6.2.3</w:t>
      </w:r>
    </w:p>
    <w:p>
      <w:r>
        <w:t>Lors de l'audience du Tribunal du 21 juin 2021, les parties ont convenu que l'intimé assumerait les charges effectives de F______ à compter du 1er mai 2021 et que pour la période antérieure les décisions prises sur mesures protectrices demeureraient en vigueur. Ainsi, les montants perçus par l'appelante au titre de l'entretien de F______ jusqu'au 30 avril 2021 (y compris les 5'625 fr. moins les 1'600 fr. qu'elle avait remboursés à l'intimé et les 1'350 fr. d'allocations familiales, relatifs à la période du 16 décembre 2020 au 30 avril 2021) lui étaient acquis. C'est ainsi à tort que les parties sont revenues sur cette problématique dans le contexte de la liquidation de leur régime matrimonial.</w:t>
      </w:r>
    </w:p>
    <w:p>
      <w:r>
        <w:rPr>
          <w:b/>
        </w:rPr>
        <w:t>E. 6.2.4</w:t>
      </w:r>
    </w:p>
    <w:p>
      <w:r>
        <w:t>L'assurance sur la vie contractée par l'appelante devait être prise en compte à sa valeur de rachat à la date de la dissolution du régime matrimonial, à savoir au 30 mars 2021, date du dépôt de la demande de divorce. Dans la mesure où l'appelante n'a produit qu'une pièce indiquant la valeur de rachat au 1er juin 2021, le Tribunal pouvait sans arbitraire se fonder sur ce document. Cependant, seule la valeur de rachat (11'265 fr. 80) - à l'exclusion de la participation aux excédents et du remboursement des primes pour la période de juin à décembre 2021 - est déterminante. La créance de l'intimé s'élève à la moitié de la valeur de rachat soit à 5'632 fr. 90. Les considérations d'équité, évoquées par l'appelante, n'entrent pas en ligne de compte dans le cadre de la liquidation du régime matrimonial.</w:t>
      </w:r>
    </w:p>
    <w:p>
      <w:r>
        <w:t>- 26/28 -</w:t>
      </w:r>
    </w:p>
    <w:p>
      <w:r>
        <w:t>C/5852/2021</w:t>
      </w:r>
    </w:p>
    <w:p>
      <w:r>
        <w:rPr>
          <w:b/>
        </w:rPr>
        <w:t>E. 6.2.5</w:t>
      </w:r>
    </w:p>
    <w:p>
      <w:r>
        <w:t>En définitive, le montant dû par l'appelante à l'intimée au titre de la liquidation du régime matrimonial s'élève à 9'549 fr. 50 (2'571 fr. 60 + 1'345 fr. + 5'632 fr. 90). Le chiffre 18 du dispositif du jugement attaqué sera modifié dans ce sens.</w:t>
      </w:r>
    </w:p>
    <w:p>
      <w:r>
        <w:rPr>
          <w:b/>
        </w:rPr>
        <w:t>E. 7.1</w:t>
      </w:r>
    </w:p>
    <w:p>
      <w:r>
        <w:t>Dès lors qu'il s'agit d'un litige relevant du droit de la famille, la solution prévue par le premier juge, à savoir une répartition par moitié des frais judiciaires et la prise en charge par les parties de leurs propres dépens, apparaît adéquate et équitable (art. 107 al. 1 let. c et 308 al. 3 CPC), de sorte qu'elle sera confirmée (chiffres 23 et 24 du dispositif du jugement attaqué).</w:t>
      </w:r>
    </w:p>
    <w:p>
      <w:r>
        <w:rPr>
          <w:b/>
        </w:rPr>
        <w:t>E. 7.2</w:t>
      </w:r>
    </w:p>
    <w:p>
      <w:r>
        <w:t>Les frais judiciaires de la procédure d'appel seront fixés à 3'000 fr. (art. 30 et 35 RTFMC).</w:t>
      </w:r>
    </w:p>
    <w:p>
      <w:r>
        <w:t>Compte tenu de la nature et de l'issue du litige, lesdits frais judiciaires seront répartis à parts égales entre les parties et chaque partie supportera ses propres dépens d'appel (art. 106 al. 2 et 107 al. 1 let. c CPC).</w:t>
      </w:r>
    </w:p>
    <w:p>
      <w:r>
        <w:t>L'intimé sera donc condamné à verser à l'Etat de Genève, soit pour lui les Services financiers du Pouvoir judiciaire, 1'500 fr. à titre de frais judiciaires d'appel.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 * * * *</w:t>
      </w:r>
    </w:p>
    <w:p>
      <w:r>
        <w:t>- 27/28 -</w:t>
      </w:r>
    </w:p>
    <w:p>
      <w:r>
        <w:t>C/5852/2021 PAR CES MOTIFS, La Chambre civile : A la forme : Déclare recevable l'appel interjeté 19 août 2022 par A______ contre les chiffres 3 à 5, 13, 14 et 17 à 19 du dispositif du jugement JTPI/7621/2022 rendu le 23 juin 2022 par le Tribunal de première instance dans la cause C/5852/2021-3. Au fond : Annule les chiffres 18 et 26 du dispositif du jugement attaqué et, statuant à nouveau sur ces points : Condamne B______ à verser à A______, par mois et d'avance, jusqu'au 31 mars 2023, 880 fr. à titre de contribution à son entretien. Condamne A______ à verser à B______ 9'549 fr. 50 à titre de soulte de liquidation du régime matrimonial. Confirme le jugement attaqué pour le surplus. Déboute les parties de toutes autres conclusions. Sur les frais : Arrête les frais judiciaires d'appel à 3'000 fr. et les met à la charge de chacune des parties par moitié. Condamne B______ à verser à l'Etat de Genève, soit pour lui les Services financiers du Pouvoir judiciaire, 1'500 fr. à titre de frais judiciaires d'appel. Dit que la part des frais judiciaires d'appel à charge de A______ est provisoirement supportée par l'Etat de Genève. Dit que chaque partie supporte ses propres dépens d'appel. Siégeant : Monsieur Ivo BUETTI, président; Madame Sylvie DROIN, Monsieur Jean REYMOND, juges; Madame Gladys REICHENBACH, greffière. Le président : Ivo BUETTI</w:t>
      </w:r>
    </w:p>
    <w:p>
      <w:r>
        <w:t>La greffière : Gladys REICHENBACH</w:t>
      </w:r>
    </w:p>
    <w:p>
      <w:r>
        <w:t>- 28/28 -</w:t>
      </w:r>
    </w:p>
    <w:p>
      <w:r>
        <w:t>C/5852/2021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