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ACJC/104/2016 vom 3. Februar 2016</w:t>
      </w:r>
    </w:p>
    <w:p>
      <w:r>
        <w:t>GE Cour de justice, 2016-02-03, FR</w:t>
      </w:r>
    </w:p>
    <w:p>
      <w:r>
        <w:rPr>
          <w:b/>
        </w:rPr>
        <w:t xml:space="preserve">Quelle: </w:t>
      </w:r>
      <w:r>
        <w:t>https://mcp.opencaselaw.ch/entscheid/ge_gerichte_ACJC_104_2016</w:t>
      </w:r>
    </w:p>
    <w:p>
      <w:r>
        <w:t>FR: GE_GERICHTE ACJC/104/2016 du 3 février 2016</w:t>
      </w:r>
    </w:p>
    <w:p>
      <w:r>
        <w:t>IT: GE_GERICHTE ACJC/104/2016 del 3 febbraio 2016</w:t>
      </w:r>
    </w:p>
    <w:p>
      <w:pPr>
        <w:pStyle w:val="Heading2"/>
      </w:pPr>
      <w:r>
        <w:t>Erwägungen</w:t>
      </w:r>
    </w:p>
    <w:p>
      <w:r>
        <w:rPr>
          <w:b/>
        </w:rPr>
        <w:t>E. 1.1</w:t>
      </w:r>
    </w:p>
    <w:p>
      <w:r>
        <w:t>Dans les affaires patrimoniales, l'appel est recevable contre les décisions fina- les de première instance lorsque la valeur litigieuse au dernier état des conclusions est de 10'000 fr. au moins (art. 308 al. 1 let. a al. 2 CPC). En l'espèce, la quotité de loyer et charges contestée s'élevait devant le Tribunal à 1'306 fr. par mois (2'023 fr. - 717 fr.) pour un bail d'une durée initiale de six mois, soit 7'836 fr. Le litige portait également sur le remboursement du trop-perçu de loyer ainsi que sur le paiement d'une somme de 4'158 fr. (6'099 fr. – (3 x 647 fr.)) à titre de remboursement de la différence de garantie bancaire après fixation du nouveau loyer. La valeur litigieuse est ainsi supérieure à 10'000 fr.,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lettre a et 311 al. 1 CPC). Il est ainsi recevable.</w:t>
      </w:r>
    </w:p>
    <w:p>
      <w:r>
        <w:rPr>
          <w:b/>
        </w:rPr>
        <w:t>E. 1.3</w:t>
      </w:r>
    </w:p>
    <w:p>
      <w:r>
        <w:t>S'agissant d'une procédure relative à la protection contre les loyers abusifs (art. 269, 269a et 270 CO), la cause est soumise à la procédure simplifiée en vertu de l'art. 243 al. 2 let. c CPC et la maxime inquisitoire sociale est applicable (art. 247 al. 2 let. a CPC).</w:t>
      </w:r>
    </w:p>
    <w:p>
      <w:r>
        <w:t>- 7/10 -</w:t>
      </w:r>
    </w:p>
    <w:p>
      <w:r>
        <w:t>C/9362/2014</w:t>
      </w:r>
    </w:p>
    <w:p>
      <w:r>
        <w:rPr>
          <w:b/>
        </w:rPr>
        <w:t>E. 1.4</w:t>
      </w:r>
    </w:p>
    <w:p>
      <w:r>
        <w:t>Saisie d'un appel, la Cour de justice revoit la cause avec un pouvoir de cognition complet, c'est-à-dire tant en fait qu'en droit (art. 310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24 produite par l'appelante figure déjà au dossier de procédure. La pièce 25 n'est pas pertinente pour trancher de la présente cause puisqu'elle en concerne une autre. Quant aux pièces n° 26 à 30, elles sont antérieures à la dernière audience devant le Tribunal, à l'issue de laquelle la cause a été gardée à juger. Elles portent sur des faits déjà existants et pouvant être prouvés en première instance. Comme cela ressort des considérants ci-après, ces pièces auraient pu être produites en première instance. Ces pièces sont partant irrecevables.</w:t>
      </w:r>
    </w:p>
    <w:p>
      <w:r>
        <w:rPr>
          <w:b/>
        </w:rPr>
        <w:t>E. 3.1</w:t>
      </w:r>
    </w:p>
    <w:p>
      <w:r>
        <w:t>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(ATF 124 III 62; 121 II 341; 120 II 341; LACHAT, Le bail à loyer, Lausanne 2008, p. 397), étant précisé que ce dernier critère n'entre en général en ligne de compte que lorsque le juge ne dispose pas des éléments lui permettant de procéder à un calcul de rendement (arrêts du Tribunal fédéral 4A_185/2008 du 24 septembre 2008 consid. 2.3; 4C.274/1997 du 27 avril 1998, reproduit in SJ 1998 p. 718). Le juge exerce un pouvoir d'appréciation plus étendu que dans la procédure en contestation d'un loyer communiqué selon les formes prescrites; il n'a pas à limiter son intervention au cas où le loyer convenu par les parties est abusif, hypothèse dans laquelle il restreint son examen aux facteurs invoqués par les parties (ATF 121 III 364 consid. 4c; arrêt du Tribunal fédéral 4A_185/2008 cité, consid. 2.3).</w:t>
      </w:r>
    </w:p>
    <w:p>
      <w:r>
        <w:rPr>
          <w:b/>
        </w:rPr>
        <w:t>E. 3.2</w:t>
      </w:r>
    </w:p>
    <w:p>
      <w:r>
        <w:t>Dès lors que le bailleur détient seul les documents permettant un calcul de rendement, on peut attendre de lui qu'il les produise, la maxime inquisitoriale sociale instaurée par l'article 247 al. 2 CPC impliquant un devoir de collaboration active des parties à l'établissement des faits (ATF 125 III 231 consid. 4a = JT 2000 I 194; arrêts du Tribunal fédéral 4A_3/2011 du 28 février 2011;</w:t>
      </w:r>
    </w:p>
    <w:p>
      <w:r>
        <w:t>- 8/10 -</w:t>
      </w:r>
    </w:p>
    <w:p>
      <w:r>
        <w:t>C/9362/2014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w:t>
      </w:r>
    </w:p>
    <w:p>
      <w:r>
        <w:rPr>
          <w:b/>
        </w:rPr>
        <w:t>E. 3.3</w:t>
      </w:r>
    </w:p>
    <w:p>
      <w:r>
        <w:t>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La maxime inquisitoire sociale n'impose pas au juge de prévenir le justiciable assisté d'un avocat que les preuves administrées n'emportent pas sa conviction et qu'il est nécessaire d'en produire d'autres (arrêt du Tribunal fédéral 4A_705/2014 du 6 mai 2015, consid. 3.3).</w:t>
      </w:r>
    </w:p>
    <w:p>
      <w:r>
        <w:rPr>
          <w:b/>
        </w:rPr>
        <w:t>E. 3.4</w:t>
      </w:r>
    </w:p>
    <w:p>
      <w:r>
        <w:t>En l'espèce, il n'est plus contesté en appel que le loyer initial est entaché de nullité, dans la mesure où la bailleresse n'a pas réussi à établir qu'elle avait notifié un avis de fixation du loyer lors de la conclusion du bail.</w:t>
      </w:r>
    </w:p>
    <w:p>
      <w:r>
        <w:t>Il est également admis que les premiers juges ont appliqué correctement les règles de fixation du loyer rappelées ci-dessus, à savoir qu'ils ont procédé par le biais d'un calcul de rendement.</w:t>
      </w:r>
    </w:p>
    <w:p>
      <w:r>
        <w:t>L'appelante reproche uniquement au Tribunal de ne pas l'avoir aidée à réaliser qu'elle n'avait pas produit toutes les pièces requises et attendues relativement aux charges de copropriété; elle prétend pouvoir être admise à en produire le détail, dans la mesure où elle n'aurait pas été assistée d'un mandataire professionnellement qualifié en droit du bail durant la procédure de première instance.</w:t>
      </w:r>
    </w:p>
    <w:p>
      <w:r>
        <w:rPr>
          <w:b/>
        </w:rPr>
        <w:t>E. 3.5</w:t>
      </w:r>
    </w:p>
    <w:p>
      <w:r>
        <w:t>Il y a tout d'abord lieu de constater que pour les étapes essentielles de la procédure de première instance, l'appelante était assistée par un mandataire qualifié en droit du bail. Ce n'est qu'à la première audience de débats, du 20 novembre 2014, qu'elle s'est présentée seule devant les juges.</w:t>
      </w:r>
    </w:p>
    <w:p>
      <w:r>
        <w:t>- 9/10 -</w:t>
      </w:r>
    </w:p>
    <w:p>
      <w:r>
        <w:t>C/9362/2014 A ce stade, elle avait déjà pu bénéficier de l'aide d'un conseil, en particulier pour la rédaction du mémoire de réponse qu'elle a déposé, accompagné de toutes les pièces qu'elle a produites en première instance, le 1er septembre 2014. L'ordonnance du Tribunal du 4 août 2014 décrivait précisément les documents à produire et les conséquences d'une absence de production de ces pièces; ce faisant, le Tribunal s'est conformé aux exigences de la maxime inquisitoire sociale, telles que fixées par la jurisprudence, s'agissant d'un plaideur représenté par un mandataire spécialisé. Il n'avait en particulier pas à attirer par la suite l'attention de l'appelante sur le fait que les pièces produites ne suffisaient pas à emporter sa conviction relativement au montant des charges alléguées. Lors de la dernière audience, le 5 février 2015, la bailleresse était à nouveau accompagnée de son mandataire. C'est à cette occasion que les locataires ont plaidé l'insuffisance de preuves pour établir le montant total des charges que la bailleresse voulait faire prendre en considération dans le calcul de rendement et partant, pour fixer le loyer. Sur le fond, c'est à juste titre que le Tribunal a retenu l'argumentation des locataires selon laquelle l'intégralité des charges de copropriété ne pouvait être répercutée sur le loyer. Tel est notamment le cas des frais de chauffage-eau chaude, déjà répercutés par le biais du décompte annuel de charges. Or, les pièces 7 à 9 produites par la bailleresse, sans aucun détail et dont aucun poste ne correspondait aux charges alléguées à hauteur de 880 fr. 35 par mois en moyenne, étaient insuffisantes pour établir la quotité des frais allégués par l'appelante. Au vu de ce qui précède, le grief de l'appelante doit être rejeté et le jugement entrepris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- 10/10 -</w:t>
      </w:r>
    </w:p>
    <w:p>
      <w:r>
        <w:t>C/9362/2014 PAR CES MOTIFS, La Chambre des baux et loyers : A la forme : Déclare recevable l'appel formé le 23 avril 2015 par C.______ contre le jugement JTBL/294/2015 rendu par le Tribunal des baux et loyers le 5 mars 2015 dans la cause C/9362/2014-4 OSL.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