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ACJC/1046/2015 vom 17. September 2015</w:t>
      </w:r>
    </w:p>
    <w:p>
      <w:r>
        <w:t>GE Cour de justice, 2015-09-17, FR</w:t>
      </w:r>
    </w:p>
    <w:p>
      <w:r>
        <w:rPr>
          <w:b/>
        </w:rPr>
        <w:t xml:space="preserve">Quelle: </w:t>
      </w:r>
      <w:r>
        <w:t>https://mcp.opencaselaw.ch/entscheid/ge_gerichte_ACJC_1046_2015</w:t>
      </w:r>
    </w:p>
    <w:p>
      <w:r>
        <w:t>FR: GE_GERICHTE ACJC/1046/2015 du 17 septembre 2015</w:t>
      </w:r>
    </w:p>
    <w:p>
      <w:r>
        <w:t>IT: GE_GERICHTE ACJC/1046/2015 del 17 settembre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TAPPY, Les voies de droit du nouveau Code de procédure civile, in JdT 2010 III p. 115 ss, p. 141; CHAIX, Introduction au recours de la nouvelle procédure civile fédérale, in SJ 2009 II p. 257 ss, p. 259).</w:t>
      </w:r>
    </w:p>
    <w:p>
      <w:r>
        <w:rPr>
          <w:b/>
        </w:rPr>
        <w:t>E. 1.2</w:t>
      </w:r>
    </w:p>
    <w:p>
      <w:r>
        <w:t>En tant qu'elle refuse des moyens de preuves, la décision querellée est une ordonnance de preuves au sens de l'art. 154 CPC, susceptible de recours immédiat aux conditions restrictives de l'art. 319 let. b ch. 2 CPC, soit lorsqu'elle est de nature à causer un préjudice difficilement réparable (ACJC/241/2015 consid. 1.1; ACJC/1234/2014 consid. 1.1; ACJC/1292 /2013 consid. 1.1; ACJC/734/2013 consid. 1.1). Le recours a été interjeté dans le délai de dix jours et suivant la forme prévue par la loi (art. 130, 131 et 321 al. 2 et 3 CPC). Reste à examiner si la décision querellée peut causer un préjudice difficilement réparable au recourant au sens de l'art. 319 let. b ch. 2 CPC, les autres hypothèses visées par l'art. 319 let. b ch. 1 CPC n'étant en l'espèce pas réalisées.</w:t>
      </w:r>
    </w:p>
    <w:p>
      <w:r>
        <w:rPr>
          <w:b/>
        </w:rPr>
        <w:t>E. 2.1</w:t>
      </w:r>
    </w:p>
    <w:p>
      <w:r>
        <w:t>La possibilité d'attaquer séparément les "autres décisions incidentes" - telles que les citations à comparaître, les renvois d'audience, les prolongations de délais ou les ordonnances de preuves - est soumise à des restrictions dans le souci de ne pas retarder inutilement le cours du procès (Message du Conseil fédéral relatif au code de procédure civile suisse du 28 juin 2006, FF 2006 I 6841 ss, p. 6983).</w:t>
      </w:r>
    </w:p>
    <w:p>
      <w:r>
        <w:t>- 4/6 -</w:t>
      </w:r>
    </w:p>
    <w:p>
      <w:r>
        <w:t>C/26002/2012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Si la condition du préjudice difficilement réparable n'est pas remplie, la partie doit attaquer l'ordonnance avec la décision finale sur le fond (Message du Conseil fédéral CPC, FF 2006 6841, ad art. 316 p. 6984).</w:t>
      </w:r>
    </w:p>
    <w:p>
      <w:r>
        <w:rPr>
          <w:b/>
        </w:rPr>
        <w:t>E. 2.2</w:t>
      </w:r>
    </w:p>
    <w:p>
      <w:r>
        <w:t>En l'espèce, le recourant reproche au Tribunal d'avoir écarté des débats des pièces nécessaires selon lui à l'établissement des faits et à la recherche de la manifestation de la vérité. Il fait notamment valoir que l'intérêt public à la confidentialité des courriers d'avocats n'a aucune raison d'être préservé lorsqu'il vise à protéger un comportement dolosif, déloyal, malhonnête et contraire à la bonne foi. En revanche, le recourant n'explique pas en quoi la décision querellée lui ferait subir un préjudice difficilement réparable.</w:t>
      </w:r>
    </w:p>
    <w:p>
      <w:r>
        <w:t>- 5/6 -</w:t>
      </w:r>
    </w:p>
    <w:p>
      <w:r>
        <w:t>C/26002/2012 En outre, si au terme de la procédure, le recourant estime que les premiers juges a refusé à tort la recevabilité de la pièce litigieuse et du procès-verbal de l'audience du 7 avril 2014 alors que ces preuves pouvaient influencer l'issue du litige, il pourra diriger ses griefs contre la décision finale par la voie de l'appel de l'art. 308 CPC et demander à la Cour que la cause soit renvoyée au Tribunal afin que celui- ci admette la recevabilité desdits documents avant de statuer à nouveau. De ce point de vue, le recourant conservant ses moyens dans le cadre de l'appel contre le jugement au fond, il ne subit aucun préjudice difficilement réparable du fait de l'ordonnance querellée. Il n'est d'ailleurs pas exclu que le Tribunal rende une décision qui - dans son résultat - emporte l'adhésion du recourant. Partant, l'ordonnance querellée n'est pas de nature à causer un préjudice difficilement réparable au recourant. Le recours contre cette ordonnance est par conséquent irrecevable, les conditions de l'art. 319 let. b ch. 2 n'étant pas remplies.</w:t>
      </w:r>
    </w:p>
    <w:p>
      <w:r>
        <w:rPr>
          <w:b/>
        </w:rPr>
        <w:t>E. 3</w:t>
      </w:r>
    </w:p>
    <w:p>
      <w:r>
        <w:t>Les frais judiciaires de la présente décision et de la décision sur effet suspensif, arrêtés à 1'000 fr. (art. 96, 104 al. 1 et 105 CPC; art. 39 RTFMC), seront mis à la charge du recourant qui succombe (art. 106 al. 1 in initio CPC). Ils sont entièrement couverts par l'avance de frais effectuée par le recourant, qui est dès lors acquise à l'Etat de Genève (art. 111 al. 1 CPC). Le recourant sera en outre condamné aux dépens de l'intimé assisté d'un conseil devant la Cour, arrêtés à 1'000 fr., débours et TVA compris (art. 95, 104 al. 1, 105 et 106 al. 1 CPC; art. 85, 87 et 90 RTFMC; art. 23 al. 1, 25 et 26 de la Loi d'application du code civil suisse et d'autres lois fédérales en matière civile (LaCC), E 1 05; art. 25 LTVA).</w:t>
      </w:r>
    </w:p>
    <w:p>
      <w:r>
        <w:rPr>
          <w:b/>
        </w:rPr>
        <w:t>E. 4</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- 6/6 -</w:t>
      </w:r>
    </w:p>
    <w:p>
      <w:r>
        <w:t>C/26002/2012 PAR CES MOTIFS, La Chambre civile : Déclare irrecevable le recours interjeté le 16 janvier 2015 par A______ contre l'ordonnance OTPI/1665/2014 rendue le 18 décembre 2014 par le Tribunal de première instance dans la cause C/26002/2012-7. Arrête les frais judiciaires de recours à 1'000 fr., les met à la charge de A______ et les compense avec l'avance du même montant fournie par A______, laquelle reste acquise à l'Etat de Genève à due concurrence. Condamne A______ à verser à B______ la somme de 1'000 fr. à titre de dépens de recours.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