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ACJC/1045/2016 vom 4. August 2016</w:t>
      </w:r>
    </w:p>
    <w:p>
      <w:r>
        <w:t>GE Cour de justice, 2016-08-04, FR</w:t>
      </w:r>
    </w:p>
    <w:p>
      <w:r>
        <w:rPr>
          <w:b/>
        </w:rPr>
        <w:t xml:space="preserve">Quelle: </w:t>
      </w:r>
      <w:r>
        <w:t>https://mcp.opencaselaw.ch/entscheid/ge_gerichte_ACJC_1045_2016</w:t>
      </w:r>
    </w:p>
    <w:p>
      <w:r>
        <w:t>FR: GE_GERICHTE ACJC/1045/2016 du 4 août 2016</w:t>
      </w:r>
    </w:p>
    <w:p>
      <w:r>
        <w:t>IT: GE_GERICHTE ACJC/1045/2016 del 4 agosto 2016</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- 4/9 -</w:t>
      </w:r>
    </w:p>
    <w:p>
      <w:r>
        <w:t>C/22664/2015</w:t>
      </w:r>
    </w:p>
    <w:p>
      <w:r>
        <w:t>Aux termes de l'art. 321 al. 1 et 2 CPC, le recours doit être introduit auprès de l'instance de recours dans les dix jours à compter de la notification de la décision motivée.</w:t>
      </w:r>
    </w:p>
    <w:p>
      <w:r>
        <w:t>Interjeté dans le délai prescrit et selon la forme requise par la loi, le recours est recevable.</w:t>
      </w:r>
    </w:p>
    <w:p>
      <w:r>
        <w:rPr>
          <w:b/>
        </w:rPr>
        <w:t>E. 1.2</w:t>
      </w:r>
    </w:p>
    <w:p>
      <w:r>
        <w:t>Le recours étant instruit en procédure sommaire, la maxime des débats s'applique et la preuve des faits allégués doit être apportée par titres (art. 55 al. 1, 255 let. a a contrario et 254 CPC).</w:t>
      </w:r>
    </w:p>
    <w:p>
      <w:r>
        <w:rPr>
          <w:b/>
        </w:rPr>
        <w:t>E. 2</w:t>
      </w:r>
    </w:p>
    <w:p>
      <w:r>
        <w:t>Les conclusions, les allégations de fait et les preuves nouvelles sont irrecevables (art. 326 al. 1 CPC).</w:t>
      </w:r>
    </w:p>
    <w:p>
      <w:r>
        <w:t>Les pièces nouvelles produites par le recourant sont ainsi irrecevables.</w:t>
      </w:r>
    </w:p>
    <w:p>
      <w:r>
        <w:t>En ce qui concerne les allégués n° 7 à 11 contenus dans la réponse de l'intimée, ceux-ci ne sont pas nouveaux, dès lors qu'ils ressortent des pièces produites en première instance et ont été soulevés par cette dernière. Ils sont donc recevables.</w:t>
      </w:r>
    </w:p>
    <w:p>
      <w:r>
        <w:rPr>
          <w:b/>
        </w:rPr>
        <w:t>E. 3</w:t>
      </w:r>
    </w:p>
    <w:p>
      <w:r>
        <w:t>Le recourant reproche au premier juge d'avoir admis que les contrats de bail litigieux valaient reconnaissance de dette. La preuve de la notification des avis de fixation du loyer initial n'avait pas été rapportée, celle-ci n'était d'ailleurs pas motivée et ne faisait pas mention du loyer du précédent locataire, respectivement qu'il s'agissait d'une première location, de sorte que les baux litigieux étaient nuls sous l'angle du loyer.</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w:t>
      </w:r>
    </w:p>
    <w:p>
      <w:r>
        <w:t>- 5/9 -</w:t>
      </w:r>
    </w:p>
    <w:p>
      <w:r>
        <w:t>C/22664/2015 créancier, sa nature formelle - et non la validité de la créance - et lui attribue force exécutoire (ATF 132 III 140 consid. 4.1).</w:t>
      </w:r>
    </w:p>
    <w:p>
      <w:r>
        <w:t>3.2.1 Le contrat de bail signé constitue une reconnaissance de dette pour le loyer échu, si l'objet du contrat a été mis à la disposition du locataire et n'est pas entaché de défauts tels que l'usage s'en trouve affecté (KRAUSKOPF, La mainlevée provisoire : quelques jurisprudences récentes, in JT 2008 II 23, p. 36; GILLIERON, Commentaire de la loi fédérale sur la poursuite pour dettes et la faillite, 1999, n° 50 ad art. 82 LP).</w:t>
      </w:r>
    </w:p>
    <w:p>
      <w:r>
        <w:t>3.2.2 A teneur de l'art. 270 al. 2 CO, les cantons peuvent rendre obligatoire, sur tout ou partie de leur territoire, l'usage de la formule officielle mentionnée à l'art. 269d CO pour la conclusion de tout nouveau bail, en cas de pénurie de logement.</w:t>
      </w:r>
    </w:p>
    <w:p>
      <w:r>
        <w:t>Dans le canton de Genève, cette obligation a été imposée par l'art. 24 de la Loi genevoise d'application du Code civil et du Code des obligations (aLaCC) qui avait cours en 2008 lorsque les baux litigieux ont été signés. Selon l'alinéa 2 de cette disposition, la formule officielle agréée par le canton doit contenir le montant du loyer et l'état des charges dus par le précédent locataire, le montant du nouveau loyer et du nouvel état des charges, le motif précis d'une éventuelle augmentation (…).</w:t>
      </w:r>
    </w:p>
    <w:p>
      <w:r>
        <w:t>La formule officielle ne peut, en revanche, pas être imposée pour la conclusion d'un bail de locaux commerciaux (ATF 117 Ia 328 consid. 3b).</w:t>
      </w:r>
    </w:p>
    <w:p>
      <w:r>
        <w:t>3.2.3 Selon la jurisprudence, l'existence d'un vice de forme lors de la notification du loyer initial, comme par exemple la non utilisation de la formule officielle, n'implique pas la nullité totale du contrat de bail, mais limite cette nullité à la seule fixation du loyer (art. 20 al. 2 CO; ATF 137 III 548 consid. 2.3).</w:t>
      </w:r>
    </w:p>
    <w:p>
      <w:r>
        <w:t>Lorsque la formule officielle est obligatoire lors de la conclusion du bail, le contrat de bail ne vaut dès lors pas à lui seul titre de mainlevée provisoire; le bailleur poursuivant doit y joindre la formule officielle (BRACONI, L'exécution forcée des créances pécuniaires et en prestation de sûretés en matière de bail, in 16ème séminaire sur le droit du bail, Neuchâtel, 2010, p. 131).</w:t>
      </w:r>
    </w:p>
    <w:p>
      <w:r>
        <w:t>Un contrat de bail prévoyant des loyers échelonnés constitue une reconnaissance de dette pour les loyers ou fermages échus, pour autant que l'augmentation selon la clause d'échelonnement ait été notifiée sur formule officielle (KRAUSKOPF, op. cit., p. 36).</w:t>
      </w:r>
    </w:p>
    <w:p>
      <w:r>
        <w:t>3.3.1 En l'espèce, l'intimée objecte que la notification des avis de fixation du loyer initial par formule officielle n'était pas obligatoire pour la location de baux commerciaux (appartement n° 1______ et 2______) et de baux non destinés à</w:t>
      </w:r>
    </w:p>
    <w:p>
      <w:r>
        <w:t>- 6/9 -</w:t>
      </w:r>
    </w:p>
    <w:p>
      <w:r>
        <w:t>C/22664/2015 l'usage personnel du recourant, mais à la sous-location (appartement n° 3______ et 4______).</w:t>
      </w:r>
    </w:p>
    <w:p>
      <w:r>
        <w:t>Il ressort des contrats litigieux que trois des quatre appartements concernés ont été expressément destinés à l'habitation et non à un usage commercial. Le fait que le recourant utilise les appartements n° 1______ et 2______ à titre de loges des artistes et d'annexes aux locaux commerciaux du cabaret ne change pas l'affectation des locaux convenue contractuellement. Le caractère commercial des appartements n° 1______ et 2______ ne sera donc pas, sous l'angle de la vraisemblance, retenu par la Cour.</w:t>
      </w:r>
    </w:p>
    <w:p>
      <w:r>
        <w:t>Le fait que les appartements n° 3______ et 4______ soient sous-loués par le recourant à des tiers ne rend, vraisemblablement, pas l'emploi de la formule officielle au sens de l'art. 270 al. 2 optionnel. En effet, il s'agit de locaux d'habitation et non à usage commercial.</w:t>
      </w:r>
    </w:p>
    <w:p>
      <w:r>
        <w:t>Les quatre appartements ayant donc, sous l'angle de la vraisemblance, le caractère de logements, la notification des avis de fixation du loyer initial au moyen de la formule officielle était obligatoire. D'autant plus que le loyer des appartements était échelonné dans le temps, de sorte qu'une telle augmentation devait être notifiée au recourant par formule officielle.</w:t>
      </w:r>
    </w:p>
    <w:p>
      <w:r>
        <w:t>3.3.2 Or, en l'état du dossier, l'intimée n'a pas établi que lesdits avis, sur formule officielle, avaient bien été notifiés au recourant lors de la conclusion des contrats litigieux, ce que ce dernier conteste. Elle ne produit aucun titre sur ce point. L'absence de notification est, par ailleurs, renforcée par le fait que les avis de fixation du loyer initial ne comportent que la signature de l'intimée et non celle du recourant.</w:t>
      </w:r>
    </w:p>
    <w:p>
      <w:r>
        <w:t>En tous les cas, les avis produits par l'intimée ne sont pas conformes aux prescriptions de l'art. 24 aLaCC. En effet, le nom du précédant locataire, ainsi que le montant du loyer payé par ce dernier ne sont pas indiqués.</w:t>
      </w:r>
    </w:p>
    <w:p>
      <w:r>
        <w:t>Partant, la nullité de l'avis de fixation du loyer initial des appartements litigieux est rendue vraisemblable. Dès lors, au regard des principes rappelés supra, le premier juge a admis à tort que l'intimée disposait d'une reconnaissance de dette à l'encontre du recourant.</w:t>
      </w:r>
    </w:p>
    <w:p>
      <w:r>
        <w:t>Le recours est ainsi fondé. La décision attaquée sera donc annulée et l'intimée déboutée des fins de sa requête de mainlevée.</w:t>
      </w:r>
    </w:p>
    <w:p>
      <w:r>
        <w:rPr>
          <w:b/>
        </w:rPr>
        <w:t>E. 4</w:t>
      </w:r>
    </w:p>
    <w:p>
      <w:r>
        <w:t>L'intimée, qui succombe, supportera les frais de première instance, lesquels n'ont pas été remis en cause dans leur quotité et sont conformes aux dispositions légales applicables, ainsi que les frais du présent recours. Ces frais seront arrêtés pour les deux instances à 1'000 fr. (400 fr. pour la première instance et 600 fr. pour le</w:t>
      </w:r>
    </w:p>
    <w:p>
      <w:r>
        <w:t>- 7/9 -</w:t>
      </w:r>
    </w:p>
    <w:p>
      <w:r>
        <w:t>C/22664/2015 recours) (art. 48, 61 OELP) et couverts par les avances déjà opérées par les parties, qui restent acquises à l'Etat (art. 111 al. 1 CPC).</w:t>
      </w:r>
    </w:p>
    <w:p>
      <w:r>
        <w:t>L'intimée sera en conséquence condamnée à verser la somme de 600 fr. au recourant au titre du remboursement de l'avance fournie par ce dernier.</w:t>
      </w:r>
    </w:p>
    <w:p>
      <w:r>
        <w:t>L'intimée versera en outre le montant de 1'675 fr. au recourant à titre de dépens des deux instances (875 fr. pour la première instance et 800 fr. pour le présent recours), débours et TVA compris (art. 84, 85, 88, 90 RTFMC; 25 et 26 LaCC). * * * * *</w:t>
      </w:r>
    </w:p>
    <w:p>
      <w:r>
        <w:t>- 8/9 -</w:t>
      </w:r>
    </w:p>
    <w:p>
      <w:r>
        <w:t>C/22664/2015 PAR CES MOTIFS, La Chambre civile : A la forme : Déclare recevable le recours interjeté le 30 mars 2016 par A______ contre le jugement JTPI/3703/2016 rendu le 17 mars 2016 par le Tribunal de première instance dans la cause C/22664/2015-2 SML. Au fond : L'admet. Annule le jugement entrepris, cela fait et statuant à nouveau : Déboute B______ des fins de sa requête en mainlevée provisoire de l'opposition formée au commandement de payer poursuite n° x______. Déboute les parties de toutes autres conclusions. Sur les frais : Arrête les frais judiciaires de première instance et de recours à 1'000 fr. et les met à la charge de B______. Dit qu'ils sont compensés avec les avances fournies par les parties, qui restent acquises à l'Etat. Condamne en conséquence B______ à rembourser la somme de 600 fr. à A______. Condamne B______ à verser à A______ la somme de 1'675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- 9/9 -</w:t>
      </w:r>
    </w:p>
    <w:p>
      <w:r>
        <w:t>C/22664/2015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