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ACJC/1044/2016 vom 19. April 2016</w:t>
      </w:r>
    </w:p>
    <w:p>
      <w:r>
        <w:t>GE Cour de justice, 2016-04-19, FR</w:t>
      </w:r>
    </w:p>
    <w:p>
      <w:r>
        <w:rPr>
          <w:b/>
        </w:rPr>
        <w:t xml:space="preserve">Quelle: </w:t>
      </w:r>
      <w:r>
        <w:t>https://mcp.opencaselaw.ch/entscheid/ge_gerichte_ACJC_1044_2016</w:t>
      </w:r>
    </w:p>
    <w:p>
      <w:r>
        <w:t>FR: GE_GERICHTE ACJC/1044/2016 du 19 avril 2016</w:t>
      </w:r>
    </w:p>
    <w:p>
      <w:r>
        <w:t>IT: GE_GERICHTE ACJC/1044/2016 del 19 aprile 2016</w:t>
      </w:r>
    </w:p>
    <w:p>
      <w:pPr>
        <w:pStyle w:val="Heading2"/>
      </w:pPr>
      <w:r>
        <w:t>Erwägungen</w:t>
      </w:r>
    </w:p>
    <w:p>
      <w:r>
        <w:rPr>
          <w:b/>
        </w:rPr>
        <w:t>E. 1.1</w:t>
      </w:r>
    </w:p>
    <w:p>
      <w:r>
        <w:t>En matière de mainlevée d'opposition, seule la voie du recours est ouverte (art. 309 let. b ch. 3 et 319 let. a CPC). La décision entreprise, rendue en procédure sommaire (art. 251 let. a CPC) doit être attaquée dans un délai de dix jours dès sa notification (art. 142 al. 3 et 321 al. 2 CPC) par un recours, écrit et motivé, conforme aux articles 130 et 131 CPC, adressé à la Cour de justice. Interjetés dans le délai et les formes prévus par la loi, les deux recours sont recevables.</w:t>
      </w:r>
    </w:p>
    <w:p>
      <w:r>
        <w:t>- 5/12 -</w:t>
      </w:r>
    </w:p>
    <w:p>
      <w:r>
        <w:t>C/26564/2015</w:t>
      </w:r>
    </w:p>
    <w:p>
      <w:r>
        <w:rPr>
          <w:b/>
        </w:rPr>
        <w:t>E. 1.2</w:t>
      </w:r>
    </w:p>
    <w:p>
      <w:r>
        <w:t>Selon l'art. 320 CPC, le recours est recevable pour violation du droit et constatation manifestement inexacte des faits.</w:t>
      </w:r>
    </w:p>
    <w:p>
      <w:r>
        <w:rPr>
          <w:b/>
        </w:rPr>
        <w:t>E. 1.3</w:t>
      </w:r>
    </w:p>
    <w:p>
      <w:r>
        <w:t>La procédure de mainlevée étant instruite en procédure sommaire, la maxime des débats s'applique (art. 55 al. 1 et art. 255 let. a a contrario CPC) et la preuve des faits allégués doit être apportée par titres (art. 254 CPC).</w:t>
      </w:r>
    </w:p>
    <w:p>
      <w:r>
        <w:rPr>
          <w:b/>
        </w:rPr>
        <w:t>E. 2</w:t>
      </w:r>
    </w:p>
    <w:p>
      <w:r>
        <w:t>A______ fait valoir que le libellé du titre de la créance mentionné dans le commandement de payer ne permet pas de déterminer si l'objet de la poursuite est le contrat de prêt ou la cédule hypothécaire, de sorte que la mainlevée ne pouvait pas être prononcée.</w:t>
      </w:r>
    </w:p>
    <w:p>
      <w:r>
        <w:rPr>
          <w:b/>
        </w:rPr>
        <w:t>E. 2.1</w:t>
      </w:r>
    </w:p>
    <w:p>
      <w:r>
        <w:t>Le droit de la cédule hypothécaire a été modifié lors de la révision du 11 décembre 2009, entrée en vigueur le 1er janvier 2012 (RO 2011 4637 ss, 4657). Dès lors que la cédule hypothécaire a, en l'espèce, été remise en garantie avant l'entrée en vigueur du nouveau droit, le présent recours sera examiné sous l'angle de l'ancien droit (art. 1 al. 1 et 26 al. 1 Tit. fin. CC; ATF 140 III 180 consid. 3). Sous l'ancien droit, comme sous le nouveau droit,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[ci-après : Message]). Il s'agit d'un papier- 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 L'identification de la créance en poursuite (créance causale ou abstraite ?) est indispensable car une poursuite en réalisation de gage immobilier doit nécessairement porter sur une créance garantie par un tel gage. Or seule la créance cédulaire est assortie d'un droit de gage immobilier et elle seule peut faire l'objet d'une poursuite en réalisation de gage immobilier, à l'exclusion de la créance causale (DENYS, Cédule hypothécaire et mainlevée, in JdT 2008 II p. 4) La cause de la créance doit être reconnaissable pour le poursuivi en vertu du principe de la bonne foi (DENYS, op. cit., p. 7).</w:t>
      </w:r>
    </w:p>
    <w:p>
      <w:r>
        <w:rPr>
          <w:b/>
        </w:rPr>
        <w:t>E. 2.2</w:t>
      </w:r>
    </w:p>
    <w:p>
      <w:r>
        <w:t>En l'espèce, en application du principe de la bonne foi, A______ pouvait et devait comprendre que l'objet de la poursuite était la créance incorporée dans la cédule hypothécaire.</w:t>
      </w:r>
    </w:p>
    <w:p>
      <w:r>
        <w:t>- 6/12 -</w:t>
      </w:r>
    </w:p>
    <w:p>
      <w:r>
        <w:t>C/26564/2015 En effet, le commandement de payer indique que le titre de créance est la cédule hypothécaire. Le fait que le contrat de prêt soit également mentionné ne permettait pas à A______ de conclure que la poursuite litigieuse portait sur la créance causale puisque le commandement de payer comporte la mention expresse selon laquelle il est émis dans le cadre d'une poursuite en réalisation d'un gage immobilier, les références de l'immeuble objet du gage étant qui plus est indiquées. Or, une telle poursuite ne peut pas être entamée sur la base d'un simple contrat de contrat de prêt non assorti d'un droit de gage. A cela s'ajoute le fait que, depuis la dénonciation au remboursement de la cédule hypothécaire intervenue en juillet 2014, A______ devait s'attendre à faire l'objet d'une poursuite en réalisation de gage fondée sur cette cédule, puisqu'aucun montant n'avait été versé par ses soins. Le grief de A______ relatif à l'indication prétendument confuse dans le commandement de payer du titre de la créance est ainsi infondé. En outre, contrairement à ce qu'elle fait valoir, l'on ne discerne aucune "violation du principe beneficium excussionis realis" puisqu'elle a bien été poursuivie par la voie d'une poursuite en réalisation de gage et non d'une poursuite ordinaire.</w:t>
      </w:r>
    </w:p>
    <w:p>
      <w:r>
        <w:rPr>
          <w:b/>
        </w:rPr>
        <w:t>E. 3</w:t>
      </w:r>
    </w:p>
    <w:p>
      <w:r>
        <w:t>A______ soutient que la cédule hypothécaire ne constitue pas une reconnaissance de dette en l'espèce car elle ne mentionne par l'identité de B______ comme créancier. Elle ajoute que sa partie adverse n'a pas démontré que la créance cédulaire était exigible au jour du dépôt de la réquisition de poursuite.</w:t>
      </w:r>
    </w:p>
    <w:p>
      <w:r>
        <w:rPr>
          <w:b/>
        </w:rPr>
        <w:t>E. 3.1</w:t>
      </w:r>
    </w:p>
    <w:p>
      <w:r>
        <w:t>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Cette exigence de la mention du débiteur vise en particulier à éviter que soit prononcée la mainlevée provisoire à l'encontre du propriétaire de l'immeuble grevé qui n'est pas le débiteur de la créance incorporée dans le titre (ATF 129 III 12 consid. 2.5). Si la cédule hypothécaire ne comporte pas l'indication du débiteur, le créancier ne pourra obtenir la mainlevée provisoire que s'il produit une copie légalisée de l'acte constitutif dans lequel la dette est reconnue. Dans le cas d'une cédule hypothécaire qui a été créée au nom du propriétaire lui-même ou dont celui-ci a été le premier porteur, la réquisition écrite par laquelle il a demandé l'inscription de la cédule</w:t>
      </w:r>
    </w:p>
    <w:p>
      <w:r>
        <w:t>- 7/12 -</w:t>
      </w:r>
    </w:p>
    <w:p>
      <w:r>
        <w:t>C/26564/2015 doit être considérée comme contenant une reconnaissance de dette implicite (ATF 129 III 12 consid. 2.5).</w:t>
      </w:r>
    </w:p>
    <w:p>
      <w:r>
        <w:rPr>
          <w:b/>
        </w:rPr>
        <w:t>E. 3.2</w:t>
      </w:r>
    </w:p>
    <w:p>
      <w:r>
        <w:t>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 LINIGER, Cédules hypothécaires et procédure de mainlevée, SJ 1995, p. 107; ATF 84 II 645, JT 1959 I 493).</w:t>
      </w:r>
    </w:p>
    <w:p>
      <w:r>
        <w:rPr>
          <w:b/>
        </w:rPr>
        <w:t>E. 3.3</w:t>
      </w:r>
    </w:p>
    <w:p>
      <w:r>
        <w:t>En l'espèce, la cédule hypothécaire a été créée pour la première fois par A______. B______ a produit la réquisition écrite par laquelle le notaire mandaté par celle-ci a demandé l'inscription de la cédule, réquisition qui mentionne spécifiquement le nom des parties. Conformément à la jurisprudence précitée, cette réquisition doit être considérée comme contenant une reconnaissance de dette implicite de sorte que la cédule hypothécaire constitue bien un titre de mainlevée provisoire de l'opposition formée au commandement de payer. En outre, le délai de six mois prévu pour la dénonciation de la cédule a été respecté. Celle-ci est intervenue le 21 juillet 2014 et le commandement de payer a été notifié le 19 novembre 2015, soit environ seize mois plus tard, étant précisé que c'est la date de notification du commandement de payer qui fait foi. En tout état de cause, au regard du temps particulièrement long qui s'est écoulé entre la dénonciation de la cédule et la notification du commandement de payer, le délai de six mois était certainement écoulé à la date du dépôt de la réquisition de poursuite. B______ est par conséquent bien au bénéfice d'une reconnaissance de dette portant sur une créance exigible.</w:t>
      </w:r>
    </w:p>
    <w:p>
      <w:r>
        <w:rPr>
          <w:b/>
        </w:rPr>
        <w:t>E. 4</w:t>
      </w:r>
    </w:p>
    <w:p>
      <w:r>
        <w:t>Enfin, contrairement à ce qu'elle fait valoir, le droit d'être entendu de A______ n'a pas été violé au motif que le Tribunal n'a pas donné suite à sa demande de convoquer une seconde audience de plaidoirie. Ses allégations selon lesquelles le Tribunal s'y était engagé ne sont corroborées par aucun élément du dossier. En outre, s'agissant d'une procédure sommaire dans le cadre de laquelle les preuves sont rapportées essentiellement par titre, l'exigence de célérité s'oppose à la multiplication des audiences.</w:t>
      </w:r>
    </w:p>
    <w:p>
      <w:r>
        <w:rPr>
          <w:b/>
        </w:rPr>
        <w:t>E. 5</w:t>
      </w:r>
    </w:p>
    <w:p>
      <w:r>
        <w:t>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w:t>
      </w:r>
    </w:p>
    <w:p>
      <w:r>
        <w:rPr>
          <w:b/>
        </w:rPr>
        <w:t>E. 5.1</w:t>
      </w:r>
    </w:p>
    <w:p>
      <w:r>
        <w:t>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 ses moyens libératoires (ATF 132 III 140 consid. 4.1.1 et les références citées; arrêt du Tribunal fédéral 5A_878/2011 du</w:t>
      </w:r>
    </w:p>
    <w:p>
      <w:r>
        <w:rPr>
          <w:b/>
        </w:rPr>
        <w:t>E. 5.2</w:t>
      </w:r>
    </w:p>
    <w:p>
      <w:r>
        <w:t>En l'espèce, le Tribunal a retenu que la version de A______, selon laquelle seuls 350'000 fr. et non 500'000 fr. lui avaient été remis à titre de prêt était plausible. En effet, dans la procédure parallèle en libération de dette, B______ n'avait pas produit, en dépit de l'injonction qui lui avait été faite, de relevé bancaire attestant du versement de 150'000 fr. à A______; il avait expliqué dans ce cadre qu'il détenait ce montant dans son coffre et l'avait remis en espèces à cette dernière, ce qui n'a pas convaincu le premier juge. B______ fait valoir que l'appréciation du Tribunal est erronée car A______ n'a apporté aucun élément de preuve à l'appui de sa thèse. Elle avait au contraire</w:t>
      </w:r>
    </w:p>
    <w:p>
      <w:r>
        <w:t>- 9/12 -</w:t>
      </w:r>
    </w:p>
    <w:p>
      <w:r>
        <w:t>C/26564/2015 signé une quittance attestant de ce qu'elle avait reçu la somme de 150'000 fr. et avait remis à B______ une cédule hypothécaire d'un montant de 500'000 fr., comprenant le montant de 150'000 fr. précité. A cet égard, la Cour constate que, comme le relève B______, la version de A______ n'est corroborée par aucune pièce. Celle-ci a signé plusieurs documents confirmant que les 150'000 fr. litigieux lui ont été remis, dont un devant notaire, à savoir l'acte constitutif de la cédule. Elle a en outre attendu la procédure en libération de dette intervenue plus de quatre ans après la signature du contrat de prêt pour faire état, pour la première fois, du fait que le montant nominal du prêt ne correspondait pas à son montant réel, ce qui est de nature à laisser penser que cet argument n'a été soulevé que pour les besoins de la cause. Ses explications selon lesquelles B______ aurait exigé la signature d'un document portant sur un montant plus important que le prêt réel à titre de "garantie", de même que les raisons qu'elle invoque pour avoir accepté ce procédé sont au demeurant peu convaincantes. Contrairement à ce qu'a retenu le Tribunal, il n'incombait pas à B______, possesseur d'une cédule hypothécaire valant reconnaissance de dette, d'établir que les allégations de sa partie adverse étaient fausses. Il incombait au contraire à la débitrice de rendre sa libération vraisemblable, ce qu'elle n'a, au vu des considérations qui précèdent, pas fait. En tout état de cause, les explications de B______ selon lesquelles le montant concerné a été remis en liquide à la débitrice contre quittance ne sont pas dénuées de plausibilité. Même si la remise d'un tel montant en liquide n'est pas forcément usuelle, une telle manière de procéder n'a rien d'illégal en soi. Compte tenu de ce qui précède, le jugement querellé sera annulé et la mainlevée provisoire prononcée pour le montant en capital figurant sur la cédule hypothécaire, à savoir 500'000 fr. Les intérêts moratoires ne courront que dès le 21 janvier 2015, soit six mois après la dénonciation au remboursement de la cédule intervenue le 21 juillet 2014, et non dès le 16 mai 2013 comme indiqué dans le commandement de payer.</w:t>
      </w:r>
    </w:p>
    <w:p>
      <w:r>
        <w:rPr>
          <w:b/>
        </w:rPr>
        <w:t>E. 6</w:t>
      </w:r>
    </w:p>
    <w:p>
      <w:r>
        <w:t>Au regard de l'issue de la cause, les frais de première instance et ceux des deux recours doivent être mis à charge de A______ qui succombe (art. 106 al. 1 CPC). Les frais judiciaires seront fixés à 750 fr. pour la procédure de première instance et à 2'250 fr. pour celle de recours, soit 3'000 fr. au total (art. 48 et 61 al. 1 OELP).</w:t>
      </w:r>
    </w:p>
    <w:p>
      <w:r>
        <w:t>- 10/12 -</w:t>
      </w:r>
    </w:p>
    <w:p>
      <w:r>
        <w:t>C/26564/2015 Ils seront compensés avec les avances fournies par les parties, soit 1'875 fr. pour B______ et 1'125 fr. pour A______, cette dernière étant condamnée à verser 1'875 fr. à sa partie adverse (art. 111 CPC). Au vu de la valeur litigieuse de 500'000 fr., A______ sera en outre condamnée à verser à B______ 4'700 fr. au titre des dépens de première instance et 3'000 fr. au titre de ceux du recours, soit 7'700 fr. au total, débours et TVA compris (art. 85, 89 et 90 RTFMC). * * * * *</w:t>
      </w:r>
    </w:p>
    <w:p>
      <w:r>
        <w:t>- 11/12 -</w:t>
      </w:r>
    </w:p>
    <w:p>
      <w:r>
        <w:t>C/26564/2015 PAR CES MOTIFS, La Chambre civile : A la forme : Déclare recevables les recours interjetés par A______ et B______ contre le jugement JTPI/5029/2016 rendu le 19 avril 2016 par le Tribunal de première instance dans la cause C/26564/2015-12 SML. Au fond : Annule ce jugement et, cela fait, statuant à nouveau : Prononce la mainlevée provisoire de l'opposition formée par A______ au commandement de payer poursuite en réalisation de gage n° 1______à concurrence de 500'000 fr. avec intérêts à 5% l'an dès le 21 janvier 2015. Déboute les parties de toutes autres conclusions. Sur les frais : Arrête les frais judiciaires de première instance et de recours à 3'000 fr. Les met à charge de A______ et dit qu'ils sont compensés avec les avances de frais fournies qui restent acquises à l'Etat de Genève. Condamne A______ à verser 1'875 fr. à B______ au titre des frais judiciaires. La condamne en outre à lui verser 7'700 fr. au titre des dépens de première instance et de recours.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- 12/12 -</w:t>
      </w:r>
    </w:p>
    <w:p>
      <w:r>
        <w:t>C/26564/2015</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