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ACJC/1044/2014 vom 2. Juni 2014</w:t>
      </w:r>
    </w:p>
    <w:p>
      <w:r>
        <w:t>GE Cour de justice, 2014-06-02, FR</w:t>
      </w:r>
    </w:p>
    <w:p>
      <w:r>
        <w:rPr>
          <w:b/>
        </w:rPr>
        <w:t xml:space="preserve">Quelle: </w:t>
      </w:r>
      <w:r>
        <w:t>https://mcp.opencaselaw.ch/entscheid/ge_gerichte_ACJC_1044_2014</w:t>
      </w:r>
    </w:p>
    <w:p>
      <w:r>
        <w:t>FR: GE_GERICHTE ACJC/1044/2014 du 2 juin 2014</w:t>
      </w:r>
    </w:p>
    <w:p>
      <w:r>
        <w:t>IT: GE_GERICHTE ACJC/1044/2014 del 2 giugno 2014</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2.2</w:t>
      </w:r>
    </w:p>
    <w:p>
      <w:r>
        <w:t>En l'espèce, la présente procédure a trait à une demande d'évacuation avec mesures d'exécution directe. La valeur litigieuse correspond dès lors à la somme des loyers entre le moment du dépôt de l'appel et le moment où le déguer- pissement de l'appelant pourra vraisemblablement être exécuté par la force pu- blique, soit 13'860 fr. (loyer mensuel charges comprises de 1'540 fr. x 9 mois). La</w:t>
      </w:r>
    </w:p>
    <w:p>
      <w:r>
        <w:t>- 5/10 -</w:t>
      </w:r>
    </w:p>
    <w:p>
      <w:r>
        <w:t>C/442/2014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2.3</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 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2ème édition, Berne 2010, n. 2314 et 2416; RETORNAZ, op. cit., p. 349 ss, n. 121).</w:t>
      </w:r>
    </w:p>
    <w:p>
      <w:r>
        <w:rPr>
          <w:b/>
        </w:rPr>
        <w:t>E. 3.1</w:t>
      </w:r>
    </w:p>
    <w:p>
      <w:r>
        <w:t>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 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 sidérée comme claire si, sur la base d’une doctrine et d’une jurisprudence éprou- vées, la norme s’applique au cas concret et y déploie ses effets de manière évi- 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w:t>
      </w:r>
    </w:p>
    <w:p>
      <w:r>
        <w:t>- 6/10 -</w:t>
      </w:r>
    </w:p>
    <w:p>
      <w:r>
        <w:t>C/442/2014 juge ou que celui-ci doit rendre une décision en équité, en tenant compte de l'en- 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 mentaire de l'arrêt 5A_645/2011, in Newsletter bail.ch, février 2012). Selon une partie de la doctrine, si le locataire a saisi, parallèlement à la demande d'expulsion, l'autorité paritaire de conciliation d'une demande d'annulation du con- gé anticipé, il y a lieu de considérer qu'il appartient à cette autorité d'examiner le cas. Dans une telle hypothèse, le "cas clair" devra être dénié (LACHAT, op. cit., p. 168-169). L'auteur réserve cependant le cas des demandes d'annulation du con- gé anticipé qui n'ont manifestement aucune chance de succès et qui consacrent un abus manifeste de procédure (LACHAT, op. cit., p. 169).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w:t>
      </w:r>
    </w:p>
    <w:p>
      <w:r>
        <w:t>- 7/10 -</w:t>
      </w:r>
    </w:p>
    <w:p>
      <w:r>
        <w:t>C/442/2014 d'admettre le cas clair. En cas de doute, l'art. 257 CPC ne saurait s'appliquer (LACHAT, op. cit., p. 168; HOHL, op. cit., n. 1678 p. 306). 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(arrêts du Tribunal fédéral 4A_7/20121 du 3 avril 2012 consid 2.4.1 et 2.5, résumé in ZPO-CPC Online, art. 257 CPC, C.a.b; 4A_265/2013 du 8 juillet 2013 consid 6).</w:t>
      </w:r>
    </w:p>
    <w:p>
      <w:r>
        <w:rPr>
          <w:b/>
        </w:rPr>
        <w:t>E. 3.2</w:t>
      </w:r>
    </w:p>
    <w:p>
      <w:r>
        <w:t>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 pulsion (ATF 122 III 92 consid. 2b = JdT 1996 I 595, 598). La sommation de payer du bailleur, au sens de l'art. 257d al. 1 CO doit être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w:t>
      </w:r>
    </w:p>
    <w:p>
      <w:r>
        <w:t>- 8/10 -</w:t>
      </w:r>
    </w:p>
    <w:p>
      <w:r>
        <w:t>C/442/2014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2008, p. 666; RAJOWER, PJA 1998, p. 807).</w:t>
      </w:r>
    </w:p>
    <w:p>
      <w:r>
        <w:rPr>
          <w:b/>
        </w:rPr>
        <w:t>E. 3.3</w:t>
      </w:r>
    </w:p>
    <w:p>
      <w:r>
        <w:t>Selon l'art. 257c CO, le loyer est payable à la fin de chaque mois, mais au plus tard à l'expiration du bail.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CCR, déclarées de force obligatoire générale dans le canton de Genève par arrêté du Conseil fédéral du 25 juin 2008, prévalent sur les dis- positions contractuelles éventuellement contraires. Pour qu’un paiement par tri- 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(ACJC/597/2011 du 16 mai 2011). Le délai de la mise en demeure, qui n'est pas précisé à l'article 1 al. 2 CCR, peut être plus court que le délai comminatoire de 30 jours de l'article 257d CO. Toute- fois, il devrait être d'au moins dix jours (LACHAT, op. cit., p. 311 note 47).</w:t>
      </w:r>
    </w:p>
    <w:p>
      <w:r>
        <w:rPr>
          <w:b/>
        </w:rPr>
        <w:t>E. 3.4</w:t>
      </w:r>
    </w:p>
    <w:p>
      <w:r>
        <w:t>Selon la théorie de la réception, une manifestation de volonté est considérée comme parvenue au destinataire, dès le moment où elle entre dans sa sphère de puissance, par exemple dans sa boîte aux lettres ou dans sa case postale; il est sans importance que le destinataire n'en ait pas connaissance effective (ENGEL, Traité des obligations en droit suisse, 1997, p. 132 et 133 et réf. citées ad. c., p. 133). En matière d'avis comminatoire, le délai commence à courir le lendemain du jour où le locataire a reçu l'avis du bailleur ou, s'il ne retire pas l'envoi recommandé que celui-ci lui a expédié, le lendemain du 7ème jour de garde de cet envoi. Le premier jour du délai de garde est celui qui suit la présentation infructueuse du pli par le facteur (LACHAT, op. cit., p. 667 et réf. citées, notes 38 et 39).</w:t>
      </w:r>
    </w:p>
    <w:p>
      <w:r>
        <w:rPr>
          <w:b/>
        </w:rPr>
        <w:t>E. 3.5</w:t>
      </w:r>
    </w:p>
    <w:p>
      <w:r>
        <w:t>En l'espèce, la bailleresse a mis en œuvre l'art. 1 CCR. Tenus de payer leur loyer par mois d'avance, les intimées se trouvaient, le 13 juin 2013, en retard de plus de dix jours dans le règlement du solde du loyer de mai 2013 et de celui de</w:t>
      </w:r>
    </w:p>
    <w:p>
      <w:r>
        <w:t>- 9/10 -</w:t>
      </w:r>
    </w:p>
    <w:p>
      <w:r>
        <w:t>C/442/2014 juin 2013. L'appelante les a mis en demeure de payer ce loyer dans un délai qu'elle a fixé au 28 juin 2013. Toutefois, les plis recommandés du 13 juin 2013 n'ont pas été retirés, sans que l'on puisse déterminer avec certitude à quelle date a commencé à courir le délai de garde. En effet, les pièces produites par la bailleresse (pièce 19) ne correspondent pas au suivi des envois du 13 juin 2013. Par conséquent, il n'est pas possible d'examiner si les conditions permettant d'exiger le paiement par trimestre d'avance des loyers (en particulier le respect du délai de la mise en demeure) étaient réa- lisées. Si l'on admet que les locataires ont été avisés par la poste le 14 juin 2013, comme l'a fait le Tribunal, le délai de garde a commencé à courir le 15 juin 2013 et le délai de la mise en demeure de l'art. 1 CCR le 22 juin 2013, de sorte qu'il n'était que de six jours, soit inférieur au minimum admissible. Au vu de ce qui précède, il n'est pas possible de déterminer avec certitude si la créance invoquée par le bailleur, à savoir les loyers de septembre à novembre 2013, était exigible. Il est rappelé à cet égard que les créances qui ne permettent pas l'application de l'art. 257d CO et celles qui la permettent doivent être distinguées de manière pré- cise dans la sommation de payer du bailleur. Dans le cadre de l'examen des conditions de l'art. 257d al. 1 CO (ch. 3.1 ci-dessus) à la lumière des principes rappelés (ch. 3.3 et 3.4 ci-dessus), l'attitude des loca- taires entre le 14 juin et le 26 septembre 2013, dont fait état la bailleresse dans son appel, n'est pas pertinente. En définitive, l'état de fait n'est pas suffisamment établi et la situation juridique est incertaine, de sorte que le cas clair ne peut être admis. Il n'est donc pas possible de retenir que la procédure en contestation du congé du 31 octobre 2013, pendante devant le Tribunal des baux et loyers est manifestement dénuée de toute chance de succès. Il faut laisser aux juges de la contestation du congé, qui statueront par voie de procédure simplifiée régie par la maxime inquisitoriale sociale, le soin de déterminer si les conditions de l'art. 257d al. 1 CO sont réunies ou non.</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- 10/10 -</w:t>
      </w:r>
    </w:p>
    <w:p>
      <w:r>
        <w:t>C/442/2014 PAR CES MOTIFS, La Chambre des baux et loyers : A la forme : Déclare recevable l'appel interjeté le 16 juin 2014 par A______SA contre le jugement JTBL/608/2014 rendu le 2 juin 2014 par le Tribunal des baux et loyers dans la cause C/442/2014-7. Au fond : Confirme ce jugement. Dit que la procédure est gratuite. Déboute les parties de toutes autres conclusions. Siégeant : Madame Pauline ERARD, présidente; Madame Fabienne GEISINGER-MARIÉTHOZ et Monsieur Ivo BUETTI, juges; Madame Maïté VALENTE, greffière.</w:t>
      </w:r>
    </w:p>
    <w:p>
      <w:r>
        <w:t>La présidente : Pauline ERARD</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