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ACJC/1043/2007 vom 14. September 2007</w:t>
      </w:r>
    </w:p>
    <w:p>
      <w:r>
        <w:t>GE Cour de justice, 2007-09-14, FR</w:t>
      </w:r>
    </w:p>
    <w:p>
      <w:r>
        <w:rPr>
          <w:b/>
        </w:rPr>
        <w:t xml:space="preserve">Quelle: </w:t>
      </w:r>
      <w:r>
        <w:t>https://mcp.opencaselaw.ch/entscheid/ge_gerichte_ACJC_1043_2007</w:t>
      </w:r>
    </w:p>
    <w:p>
      <w:r>
        <w:t>FR: GE_GERICHTE ACJC/1043/2007 du 14 septembre 2007</w:t>
      </w:r>
    </w:p>
    <w:p>
      <w:r>
        <w:t>IT: GE_GERICHTE ACJC/1043/2007 del 14 settembre 2007</w:t>
      </w:r>
    </w:p>
    <w:p>
      <w:pPr>
        <w:pStyle w:val="Heading2"/>
      </w:pPr>
      <w:r>
        <w:t>Erwägungen</w:t>
      </w:r>
    </w:p>
    <w:p>
      <w:r>
        <w:rPr>
          <w:b/>
        </w:rPr>
        <w:t>E. 1</w:t>
      </w:r>
    </w:p>
    <w:p>
      <w:r>
        <w:t>L'appel est recevable pour avoir été déposé selon la forme et dans le délai prescrits par la loi (art. 30 al. 1 litt. c, 296 et 300 LPC). Les dernières conclusions prises en première instance ayant porté sur une valeur litigieuse indéterminée, le Tribunal a statué en premier ressort (art. 22 al. 2 LOJ; BERTOSSA/GAILLARD/GUYET/SCHMIDT, Commentaire de la loi de procédure civile genevoise, n. 12 ad art. 50 LPC). La Cour revoit donc la cause avec un plein pouvoir d'examen (art. 291 LPC; SJ 1984 p. 466 consid. 1).</w:t>
      </w:r>
    </w:p>
    <w:p>
      <w:r>
        <w:rPr>
          <w:b/>
        </w:rPr>
        <w:t>E. 2</w:t>
      </w:r>
    </w:p>
    <w:p>
      <w:r>
        <w:t>Le Tribunal a à juste titre admis sa compétence à raison du lieu (art. 3 al. 1 litt. b LFors) et appliqué le droit suisse, ce qui n'est pas contesté par les parties.</w:t>
      </w:r>
    </w:p>
    <w:p>
      <w:r>
        <w:rPr>
          <w:b/>
        </w:rPr>
        <w:t>E. 3</w:t>
      </w:r>
    </w:p>
    <w:p>
      <w:r>
        <w:t>La loi donne à la Cour la faculté de procéder à l’administration des preuves sollicitées devant le premier juge, soit que celui-ci l’ait exécutée de manière défectueuse ou insuffisante (art. 307 al. 1 LPC), soit qu’il s’y soit refusé (art. 307 al. 2 LPC). Cela étant, l’art. 307 LPC ne permet pas à une partie d’exiger en appel l’administration de preuves qu’elle n’aurait pas sollicitée devant le premier juge en temps utile et selon les formes adéquates (BERTOSSA/GAILLARD/GUYET/ SCHMIDT, op. cit., n. ad art. 307 LPC). Contrairement à ce que soutient l’appelante, il apparaît que celle-ci n’a sollicité aucune mesure probatoire en première instance. Il n’y a donc pas lieu d’ordonner des enquêtes, d’autant plus que les faits ressortent clairement des pièces produites.</w:t>
      </w:r>
    </w:p>
    <w:p>
      <w:r>
        <w:rPr>
          <w:b/>
        </w:rPr>
        <w:t>E. 4.1</w:t>
      </w:r>
    </w:p>
    <w:p>
      <w:r>
        <w:t>A teneur de l'art. 595 al. 1 CC, la liquidation officielle d'une succession est faite par l'autorité compétente, qui peut aussi charger de ce soin un ou plusieurs administrateurs. Elle s'ouvre par un inventaire, avec sommation publique (art. 595 al. 2 CC). La procédure d'inventaire est la même que celle des art. 581 ss CC (STEINAUER, Le droit des successions, n. 1066a); ainsi, celui qui possède des renseignements sur la situation financière du défunt doit sous sa responsabilité les donner au liquidateur, s'il l'en requiert (art. 581 al. 2 CC; ATF 130 III 97 consid. 3.3, JdT 2004 I 125, SJ 2004 I 351; STEINAUER, op. cit., n. 1066b). Les renseignements portent non seulement sur les droits et obligations du de cujus, mais aussi sur les moyens de les connaître; en revanche, la personne interrogée n'est pas tenue de faire elle-même des recherches pour en communiquer le résultat aux liquidateurs : elle doit simplement indiquer ce qu'elle sait déjà (PIOTET, Traité de droit privé suisse, p. 720). Les liquidateurs peuvent également obtenir des renseignements concernant les avoirs dont le défunt était ayant droit économique et les éventuelles créances que celui-ci détenait à ce titre contre des tiers du fait de leur relation interne (STANISLAS, Ayant droit économique et droit civil : le devoir de renseignements de la banque in SJ 1999 p. 445). De plus,</w:t>
      </w:r>
    </w:p>
    <w:p>
      <w:r>
        <w:t>- 7/10 -</w:t>
      </w:r>
    </w:p>
    <w:p>
      <w:r>
        <w:t>C/7970/2006 le devoir de renseigner ne se limite pas à la relation existant au moment de la dévolution de la succession mais couvre également son développement du vivant du de cujus (WISSMANN, Basler Kommentar, n. 21 ad. art. 581 CC).</w:t>
      </w:r>
    </w:p>
    <w:p>
      <w:r>
        <w:rPr>
          <w:b/>
        </w:rPr>
        <w:t>E. 4.2</w:t>
      </w:r>
    </w:p>
    <w:p>
      <w:r>
        <w:t>En l'espèce, les intimés, en leur qualité de liquidateurs officiels de la succession, sont en droit d'obtenir tous renseignements quant à la composition et l'évolution du patrimoine de feu D______, y compris les biens dont ce dernier n'était qu'ayant droit économique. G______ a été doté au moyen de fonds provenant de H______, entité dont le défunt était le bénéficiaire économique. Il apparaît ainsi que malgré le transfert de propriété des avoirs concernés, D______ n'a pas cessé d'être leur ayant droit économique. Par conséquent, dans la mesure où le de cujus était l'ayant droit économique de G______, les intimés ont droit à toutes les informations leur permettant d'accomplir leur mandat, qui comprend notamment l'établissement de l'inventaire.</w:t>
      </w:r>
    </w:p>
    <w:p>
      <w:r>
        <w:rPr>
          <w:b/>
        </w:rPr>
        <w:t>E. 4.3</w:t>
      </w:r>
    </w:p>
    <w:p>
      <w:r>
        <w:t>L’appelante soutient qu’elle ne peut fournir les renseignements demandés, dans la mesure où son rôle s’est limité à la facturation de l’activité de Me N______. Toutefois, par courrier du 12 avril 1999, sous la plume de son avocat, elle a été en mesure de donner un certain nombre d’informations sur G______, soit la nature de ce trust, la date de sa constitution, les dates et montants de cinq versements bancaires pour sa capitalisation et la valeur de ses actifs au 31 décembre 1998. Il est ainsi manifeste que les informations dont dispose l’appelante ne se limitent pas aux seuls aspects liés à la facturation mais s’étendent aux détails de la constitution et de l’évolution de G______, y compris après le décès de D______.</w:t>
      </w:r>
    </w:p>
    <w:p>
      <w:r>
        <w:rPr>
          <w:b/>
        </w:rPr>
        <w:t>E. 4.4</w:t>
      </w:r>
    </w:p>
    <w:p>
      <w:r>
        <w:t>Le secret professionnel couvre tous les faits et documents confiés à l'avocat qui présentent un rapport certain avec l'exercice de sa profession. Cette protection trouve sa raison d'être dans le rapport de confiance particulier liant l'avocat et son client, qui doit pouvoir se fier entièrement à la discrétion de son mandataire. En revanche, l'avocat exerçant pour son client des activités autres que celles qui relèvent spécifiquement du barreau ne peut se prévaloir à leur propos du secret professionnel de l'avocat; celui-ci ne couvre pas l'activité commerciale de l'avocat telle que l'administration de sociétés, la gérance de fortune ou la gestion de fonds, activités qui pourraient tout aussi bien être exercées par des gérants de fortune, des fiduciaires ou des banquiers (ATF 132 IV 63 consid. 2.4, SJ 2006 I 287; ATF 120 Ib 112 consid. 4, 112 Ib 606; SJ 1996 I 453 consid. 2b). Ainsi, l’administration d’un trust, l’activité de trustee ou de protecteur d’un trust ne sont pas, en tant que telles, couvertes par le secret professionnel de l’avocat</w:t>
      </w:r>
    </w:p>
    <w:p>
      <w:r>
        <w:t>- 8/10 -</w:t>
      </w:r>
    </w:p>
    <w:p>
      <w:r>
        <w:t>C/7970/2006 (THEVENOZ, Trust en Suisse, adhésion à la Convention de la Haye sur les trusts et codification de la fiducie, p. 60). Il en découle que l'activité déployée par l'appelante pour le compte du défunt n'est pas typique de la profession d'avocat. Aussi, à supposer que l'appelante ait agi en tant qu’auxiliaire de Me N______, elle ne peut se prévaloir du secret professionnel de ce dernier.</w:t>
      </w:r>
    </w:p>
    <w:p>
      <w:r>
        <w:rPr>
          <w:b/>
        </w:rPr>
        <w:t>E. 5</w:t>
      </w:r>
    </w:p>
    <w:p>
      <w:r>
        <w:t>L’appelante est également tenue de renseigner les intimés en vertu du rapport de mandat qui le liait au de cujus.</w:t>
      </w:r>
    </w:p>
    <w:p>
      <w:r>
        <w:rPr>
          <w:b/>
        </w:rPr>
        <w:t>E. 5.1</w:t>
      </w:r>
    </w:p>
    <w:p>
      <w:r>
        <w:t>Le mandataire est tenu, à la demande du mandant, de lui rendre en tout temps compte de sa gestion et de lui restituer tout ce qu’il a reçu de ce chef, à quelque titre que ce soit (art. 400 al. 1 CO). Le droit à la reddition de comptes est cessible et transmissible (WEBER, Basler Kommentar, n. 22 ad art. 400 CO). A la mort du mandant, que le mandat prenne ou non fin avec le décès, le droit aux informations passe aux héritiers dans le cadre de l’universalité de la succession et est en principe illimité. Le droit des héritiers à la délivrance de renseignements peut uniquement être restreint lorsque ces derniers portent sur des faits de nature extrêmement personnelle (HAUSHEER, Berner Kommentar, 1966/1992, n. 10 ad art. 400 CO). La liquidation comprend le règlement des affaires courantes du défunt, l'exécution de ses obligations, le recouvrement des créances, l'acquittement des legs dans la mesure de l'actif et, en tant que de besoin, la reconnaissance judiciaire de ses droits et de ses engagements, ainsi que la réalisation de ses biens (art. 596 al. 1 CC). Le liquidateur peut entreprendre toutes les actions légales nécessaires à l'accomplissement de sa mission (KARRER, Basler Kommentar, n. 5 ad. art. 596 CC). Il possède la légitimation active pour toutes les actions relatives aux droits appartenant à la succession, notamment celles visant à déterminer l'état du patrimoine successoral (SCHULER-BUCHE, L'exécuteur testamentaire, l'administrateur officiel et le liquidateur officiel : étude et comparaison, thèse Lausanne 2003, p. 214; KARRER, op. cit., n. 25 ad art. 596 CC). Les intimés sont dès lors légitimés, vu leur qualité de liquidateurs de la succession du mandant, à recevoir les renseignements qu'ils sollicitent.</w:t>
      </w:r>
    </w:p>
    <w:p>
      <w:r>
        <w:rPr>
          <w:b/>
        </w:rPr>
        <w:t>E. 5.2</w:t>
      </w:r>
    </w:p>
    <w:p>
      <w:r>
        <w:t>Bien que l’appelante soutienne qu’elle n’a jamais été mandatée par D______ mais qu’elle s’est contentée de facturer les honoraires de Me N______, il convient de relever que son but social n’est pas la gestion de la facturation d’une étude d’avocat, mais l’exploitation d'un bureau fiduciaire spécialisé dans ______. La constitution de trusts entre précisément dans ce domaine d’activité. Aussi, le simple fait que les factures relatives à l’activité judiciaire de Me N______ aient également été établies par l’appelante ne signifie pas pour autant que c’est lui qui</w:t>
      </w:r>
    </w:p>
    <w:p>
      <w:r>
        <w:t>- 9/10 -</w:t>
      </w:r>
    </w:p>
    <w:p>
      <w:r>
        <w:t>C/7970/2006 avait été mandaté pour la constitution de G______. Au contraire, les notes d’honoraires à l’en-tête de l’appelante et la conformité de l’activité facturée au but social de celle-ci montrent qu’elle était bien la mandataire de D______. Dans la mesure où l’activité déployée dans le cadre du mandat n’avait pas de caractère hautement personnel, l’appelante doit rendre compte aux intimés de l’intégralité de celle-ci. Au vu de ce qui précède, c’est à raison que le premier juge a ordonné à l’appelante de fournir l’intégralité des renseignements et documents sollicités par les intimés. Par conséquent, le jugement entrepris sera confirmé.</w:t>
      </w:r>
    </w:p>
    <w:p>
      <w:r>
        <w:rPr>
          <w:b/>
        </w:rPr>
        <w:t>E. 6</w:t>
      </w:r>
    </w:p>
    <w:p>
      <w:r>
        <w:t>L'appelante, qui succombe, sera condamnée en tous les dépens d'appel, qui comprennent une indemnité de procédure valant participation aux honoraires d'avocat des intimés (art. 176 al. 1 CC). * * * * *</w:t>
      </w:r>
    </w:p>
    <w:p>
      <w:r>
        <w:t>- 10/10 -</w:t>
      </w:r>
    </w:p>
    <w:p>
      <w:r>
        <w:t>C/7970/2006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