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ACJC/1040/2014 vom 8. September 2014</w:t>
      </w:r>
    </w:p>
    <w:p>
      <w:r>
        <w:t>GE Cour de justice, 2014-09-08, FR</w:t>
      </w:r>
    </w:p>
    <w:p>
      <w:r>
        <w:rPr>
          <w:b/>
        </w:rPr>
        <w:t xml:space="preserve">Quelle: </w:t>
      </w:r>
      <w:r>
        <w:t>https://mcp.opencaselaw.ch/entscheid/ge_gerichte_ACJC_1040_2014</w:t>
      </w:r>
    </w:p>
    <w:p>
      <w:r>
        <w:t>FR: GE_GERICHTE ACJC/1040/2014 du 8 septembre 2014</w:t>
      </w:r>
    </w:p>
    <w:p>
      <w:r>
        <w:t>IT: GE_GERICHTE ACJC/1040/2014 del 8 settembre 2014</w:t>
      </w:r>
    </w:p>
    <w:p>
      <w:pPr>
        <w:pStyle w:val="Heading2"/>
      </w:pPr>
      <w:r>
        <w:t>Erwägungen</w:t>
      </w:r>
    </w:p>
    <w:p>
      <w:r>
        <w:rPr>
          <w:b/>
        </w:rPr>
        <w:t>E. 1.1</w:t>
      </w:r>
    </w:p>
    <w:p>
      <w:r>
        <w:t>La décision entreprise est une ordonnance d'instruction puisqu'elle statue sur l'opportunité et les modalités de l'administration des preuves. En effet, elle ordonne la clôture de la phase d'administration des preuves, refuse l'administration de preuves complémentaires sollicitées par la recourante, telles que la production de titres par l'intimée et la réalisation d'un transport sur place, et fixe la date de dé- pôt de plaidoiries finales écrites. Elle constitue une décision d'ordre procédural, qui entre dans la catégorie des autres décisions et ordonnances d'instruction de première instance (art. 319 let. b CPC) et qui est, par nature, exclue du champ de l'appel (JEANDIN, in CPC com- menté, BOHNET/HALDY/JEANDIN/SCHWEIZER/TAPPY, éd., Bâle, 2011, n. 10, 14 et 15 ad art. 319 CPC; TAPPY, in CPC commenté précité, n. 15 ad art. 229 CPC). La décision entreprise est en revanche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t>- 11/14 -</w:t>
      </w:r>
    </w:p>
    <w:p>
      <w:r>
        <w:t>C/18407/2012</w:t>
      </w:r>
    </w:p>
    <w:p>
      <w:r>
        <w:rPr>
          <w:b/>
        </w:rPr>
        <w:t>E. 1.2</w:t>
      </w:r>
    </w:p>
    <w:p>
      <w:r>
        <w:t>En l'espèce, le recours a été introduit dans les délai et forme prescrits par la loi (art. 130, 131 et 321 CPC), de sorte qu'il est recevable sous cet angle.</w:t>
      </w:r>
    </w:p>
    <w:p>
      <w:r>
        <w:rPr>
          <w:b/>
        </w:rPr>
        <w:t>E. 2.1</w:t>
      </w:r>
    </w:p>
    <w:p>
      <w:r>
        <w:t>Reste à déterminer si l'ordonnance querellée est susceptible de causer un pré- judice difficilement réparable à la recourante. La notion de "préjudice difficilement réparable" est plus large que celle de "préjudice irréparable" au sens de l'art. 93 al. 1 let. a LTF (ATF 137 III 380 consid. 2 = SJ 2012 I 73; arrêt du Tribunal fédéral 5D_211/2011 du 30 mars 2012 consid. 6.3; ACJC/327/2012 du 9 mars 2012 consid. 2.4). Est considérée comme "préjudice difficilement réparable" toute incidence dom- 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 ment exclu; il s'agit en effet de se prémunir contre le risque d'un prolongement sans fin du procès. S'agissant des ordonnances de preuve en particulier, l'admissi- bilité du recours ne sera qu'exceptionnelle (JEANDIN, op. cit., n. 22 ad art. 319 CPC; GUYAN, Beweisverfügung nach Art. 154 ZPO in ZZZ 2011/2012, p. 175; REICH in BAKER &amp; MC KENZIE, Schweizerische Zivilprozessordnung (ZPO), 2010, n. 8 ad art. 319 CPC, n. 10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décision du Tribunal cantonal du Valais TCV C3 11 125 du 7 novembre 2011 consid. 2c). Le seul fait que le recourant ne puisse se plaindre d'une violation des dispositions en matière de preuve qu'à l'occasion d'un appel sur le fond ne saurait être consi- déré comme suffisant pour retenir que la décision entreprise est susceptible de lui causer un préjudice difficilement réparable. Retenir le contraire équivaudrait à permettre à un plaideur de contester immédiatement toute ordonnance d'instruc- tion pouvant avoir un effet sur le sort de la cause, ce que le législateur a justement voulu éviter (ACJC/35/2014 du 10 janvier 2014 consid. 1.2.1). Une simple prolongation de la procédure ou un accroissement des frais ne consti- tue pas un préjudice difficilement réparable (ACJC/111/2012 du 26 janvier 2012 consid. 2; SPÜHLER, Basler Kommentar, Schweizerische Zivilprozessordnung, 2ème éd., 2013, n. 7 ad art. 319 CPC; HOFFMANN-NOWOTNY, ZPO-Rechtsmittel, Berufung und Beschwerde, KUNZ/HOFFMANN-NOWOTNY/STAUBER [éd.], 2013, n. 25 ad art. 319 CPC). C'est au recourant qu'il appartient d'alléguer et d'établir la possibilité que la déci- sion incidente lui cause un préjudice difficilement réparable, à moins que cela ne</w:t>
      </w:r>
    </w:p>
    <w:p>
      <w:r>
        <w:t>- 12/14 -</w:t>
      </w:r>
    </w:p>
    <w:p>
      <w:r>
        <w:t>C/18407/2012 fasse d'emblée aucun doute (par analogie ATF 134 III 426 consid. 1.2 et 133 III 629 consid. 2.3.1). Lorsque la condition du préjudice difficilement réparable n'est pas remplie, la dé- cision incidente n'est alors attaquable qu'avec le jugement au fond (Message du Conseil fédéral relatif au CPC, FF 2006 6841, p. 6984; JEANDIN, op. cit., n. 24 et ss ad art. 319 CPC; BRUNNER, in Kurzkommentar, Schweizerische Zivil- prozessordnung ZPO, 2014, n. 13 ad art. 319 CPC; BLICKENSTORFER in Schwei- zerische Zivilprozessordnung [ZPO], BRUNNER/GASSER/SCHWANDER, 2011, n. 40 ad art. 319 CPC).</w:t>
      </w:r>
    </w:p>
    <w:p>
      <w:r>
        <w:rPr>
          <w:b/>
        </w:rPr>
        <w:t>E. 2.2</w:t>
      </w:r>
    </w:p>
    <w:p>
      <w:r>
        <w:t>En l'espèce, la recourante soutient que les décisions récentes de la Cour et du Tribunal fédéral à propos de l'art. 317 CPC et de la possibilité d'invoquer des faits et moyens de preuve nouveaux en appel - y compris en procédure simplifiée et en cas d'application de la maxime inquisitoire sociale selon l'art. 243 al. 2 CPC - tendaient à durcir la pratique et à restreindre la maxime inquisitoire en appel; cette restriction pouvait même être comprise comme la disparition de la maxime inqui- sitoire en seconde instance; les mesures d'instruction qu'elle sollicitait visaient à instruire la question du motif du congé et à faire collaborer la bailleresse à la manifestation de la vérité, le Tribunal devant rechercher par lui-même tous les éléments pertinents à la résolution du litige; en lui refusant ces actes d'instruction, le Tribunal violait son droit à la preuve, son devoir d'établir les faits d'office selon l'art. 247 CPC et lui causait un préjudice irréparable en ce sens qu'elle se verrait certainement refuser en appel les offres et moyens de preuve sollicités mais non accordés en première instance. Or, au vu des principes juridiques rappelés ci-dessus sous chiffre 2.1, le seul fait que la recourante puisse se plaindre d'une violation des dispositions en matière de preuve à l'occasion seulement d'un appel sur le fond ne suffit pas pour retenir que l'ordonnance querellée est susceptible de lui causer un préjudice difficilement réparable. Une simple prolongation de la procédure ou un accroissement des frais liés à une éventuelle procédure d'appel n'est pas suffisante. La recourante a de plus dûment fait valoir, devant les premiers juges, les offres et moyens de preuves qui apparaissaient nécessaires, à ses yeux, pour trancher l'issue du litige; dans le mesure où ces actes d'instruction complémentaires ont été récla- més en première instance par la recourante, ils ne pourraient être considérés comme des moyens de preuves nouveaux au sens de l'art. 317 CPC en cas d'appel. Enfin et surtout, si à l'issue de la procédure et à réception du jugement au fond, la recourante persiste à estimer que les premiers juges ont refusé à tort les actes d'instruction complémentaires sollicités, qui auraient effectivement influencé l'issue du litige, elle pourra diriger ces griefs contre la décision finale par la voie de l'appel prévu par l'art. 308 CPC. On ne voit pas ainsi pour quel motif le juge, dans le cadre d’un éventuel appel, déclarerait irrecevables pour cause de tardiveté les offres et moyens de preuves complémentaires dûment invoqués par la recou-</w:t>
      </w:r>
    </w:p>
    <w:p>
      <w:r>
        <w:t>- 13/14 -</w:t>
      </w:r>
    </w:p>
    <w:p>
      <w:r>
        <w:t>C/18407/2012 rante devant les premiers juges mais par hypothèse écartés par ces derniers. La recourante ne saurait donc être suivie lorsqu’elle soutient que les faits ou moyens de preuve non pris en compte par le Tribunal en première instance seraient refusés en application de l'art. 317 CPC. L'arrêt du Tribunal fédéral cité dans son recours (arrêt du Tribunal fédéral 4A_228/2012 du 28 août 2012 consid. 2.1) et celui de la Cour (ACJC/1021/2013 du 30 août 2013, consid. 3) ne sont pas non plus pertients dans la mesure où à la différence des cas précités aucune négligence ne pourrait être reprochée à la recourante, qui a dûment sollicité des actes d'instruction com- plémentaires en première instance. Partant, la recourante conservant ses moyens dans le cadre de l'appel - notamment celui de solliciter le retour de l'affaire aux juges de première instance pour com- plément d'instruction en cas de violation de son droit à la preuve et du devoir des juges d'instruire les faits d'office - contre le jugement au fond, le cas échéant, elle ne subit, en l'état, aucun préjudice difficilement réparable du fait de l'ordonnance querellée. Son recours doit dès lors être déclaré irrecevable.</w:t>
      </w:r>
    </w:p>
    <w:p>
      <w:r>
        <w:rPr>
          <w:b/>
        </w:rPr>
        <w:t>E. 3</w:t>
      </w:r>
    </w:p>
    <w:p>
      <w:r>
        <w:t>Aux termes de l'art. 112 al. 1 lit. d LTF, le présent arrêt doit indiquer la valeur liti- gieuse. Selon la jurisprudence constante du Tribunal fédéral, les contestations portant sur l'usage d'une chose louée sont de nature pécuniaire (arrêt du Tribunal fédéral 4C.310/1996 du 16 avril 1997 = SJ 1997 p. 493 consid. 1). En l'espèce, le litige porte sur la validité d'un congé ordinaire, dont la recourante demande l'annulation; elle sollicite, à titre subsidiaire, la prolongation du bail.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 vue à l'art. 271a al. 1 lit. e CO (ATF 136 III 196 consid. 1.1.; cf. également ATF 137 III 389; 4A_367/2010 du 4.10.2010 consid. 1.1; 4A_127/2008 du 2.6.2008 consid. 1.1; 4A_516/2007 du 6.3.2008 consid. 1.1; ACJC/1301/2011 du 17.10.2011). Le loyer mensuel, charges comprises, s'élevant à 38'952 fr. l'an, la valeur liti- gieuse est manifestement supérieure à 15'000 fr. (art. 74 al. 1 let. d LTF), ouvrant la voie du recours en matière civile.</w:t>
      </w:r>
    </w:p>
    <w:p>
      <w:r>
        <w:rPr>
          <w:b/>
        </w:rPr>
        <w:t>E. 4</w:t>
      </w:r>
    </w:p>
    <w:p>
      <w:r>
        <w:t>A teneur de l'art. 22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- 14/14 -</w:t>
      </w:r>
    </w:p>
    <w:p>
      <w:r>
        <w:t>C/18407/2012 PAR CES MOTIFS, La Chambre des baux et loyers :</w:t>
      </w:r>
    </w:p>
    <w:p>
      <w:r>
        <w:t>Déclare irrecevable le recours interjeté par A______ contre l'ordonnance rendue le 10 janvier 2014 par le Tribunal des baux et loyers dans la cause C/18407/2012. Dit que la procédure est gratuite. Siégeant : Madame Sylvie DROIN, présidente; Monsieur Laurent RIEBEN et Monsieur Ivo BUETTI, juges; Madame Laurence MIZRAHI et Monsieur Grégoire CHAMBAZ,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3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