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ACJC/1040/2013 vom 3. Mai 2013</w:t>
      </w:r>
    </w:p>
    <w:p>
      <w:r>
        <w:t>GE Cour de justice, 2013-05-03, FR</w:t>
      </w:r>
    </w:p>
    <w:p>
      <w:r>
        <w:rPr>
          <w:b/>
        </w:rPr>
        <w:t xml:space="preserve">Quelle: </w:t>
      </w:r>
      <w:r>
        <w:t>https://mcp.opencaselaw.ch/entscheid/ge_gerichte_ACJC_1040_2013</w:t>
      </w:r>
    </w:p>
    <w:p>
      <w:r>
        <w:t>FR: GE_GERICHTE ACJC/1040/2013 du 3 mai 2013</w:t>
      </w:r>
    </w:p>
    <w:p>
      <w:r>
        <w:t>IT: GE_GERICHTE ACJC/1040/2013 del 3 maggio 2013</w:t>
      </w:r>
    </w:p>
    <w:p>
      <w:pPr>
        <w:pStyle w:val="Heading2"/>
      </w:pPr>
      <w:r>
        <w:t>Erwägungen</w:t>
      </w:r>
    </w:p>
    <w:p>
      <w:r>
        <w:rPr>
          <w:b/>
        </w:rPr>
        <w:t>E. 1</w:t>
      </w:r>
    </w:p>
    <w:p>
      <w:r>
        <w:t>S'agissant d'une procédure de mainlevée, seule la voie du recours est ouverte (art. 319 let. b et 309 let. b ch. 3 CPC). La procédure sommaire s'applique (art. 251 let. a CPC). Aux termes de l'art. 321 al. 1 et 2 CPC, le recours, écrit et motivé, doit être introduit auprès de l'instance de recours dans les 10 jours à compter de la notification de la décision motivée, pour les décisions prises en procédure sommaire. Le recourant ne peut se limiter à conclure à l'annulation de la décision attaquée; il devra prendre des conclusions au fond, sous peine d'irrecevabilité du recours, de façon à permettre à l'autorité supérieure de statuer à nouveau dans le cas où les conditions de l'art. 327 al. 3 let. b CPC sont réunies (JEANDIN, Code de procédure civile commenté, ad art. 321 n° 5). Le recours doit être motivé. Cela signifie que le recourant a le fardeau d'expliquer les motifs pour lesquels le jugement attaqué doit être annulé (JEANDIN, op. cit., ibidem et ad art. 311 n° 3). En l'occurrence, le recourant ne prend pas de conclusions explicites. On comprend toutefois qu'il entend obtenir l'annulation du jugement attaqué, au motif qu'il aurait déjà réglé tant l'amende que le montant objet du commandement de payer. Dans la mesure où le recours émane d'un plaideur en personne, la Cour admettra la recevabilité de cet acte, déposé dans le délai prévu par la loi.</w:t>
      </w:r>
    </w:p>
    <w:p>
      <w:r>
        <w:rPr>
          <w:b/>
        </w:rPr>
        <w:t>E. 2</w:t>
      </w:r>
    </w:p>
    <w:p>
      <w:r>
        <w:t>Les conclusions, les allégations de faits et les preuves nouvelles sont irrecevables (art. 326 al. 1 CPC).</w:t>
      </w:r>
    </w:p>
    <w:p>
      <w:r>
        <w:t>- 4/6 -</w:t>
      </w:r>
    </w:p>
    <w:p>
      <w:r>
        <w:t>C/3624/2013</w:t>
      </w:r>
    </w:p>
    <w:p>
      <w:r>
        <w:t>Les allégués et pièces nouveaux de l'intimé relatifs aux circonstances de la perception d'un acompte de 65 fr. en octobre 2012 ne sont donc pas recevables.</w:t>
      </w:r>
    </w:p>
    <w:p>
      <w:r>
        <w:rPr>
          <w:b/>
        </w:rPr>
        <w:t>E. 3</w:t>
      </w:r>
    </w:p>
    <w:p>
      <w:r>
        <w:t>Le recourant ne conteste pas la créance en poursuite, pas plus que le titre produit par l'intimée, mais affirme avoir déjà payé le montant objet du commandement de payer.</w:t>
      </w:r>
    </w:p>
    <w:p>
      <w:r>
        <w:rPr>
          <w:b/>
        </w:rPr>
        <w:t>E. 3.1</w:t>
      </w:r>
    </w:p>
    <w:p>
      <w:r>
        <w:t>Selon l'art. 80 al. 1 LP, le créancier qui est au bénéfice d'un jugement exécutoire peut requérir du juge la mainlevée définitive de l'opposition.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LP). Dans la procédure sommaire de mainlevée définitive (cf. art. 25 ch. 2 let. a LP), le juge n'a ni à revoir ni à interpréter le titre qui lui est soumis (ATF 124 III 501 consid. 3a et les références citées). Le juge doit vérifier d'office notamment l'identité entre le poursuivant et le créancier désigné dans le titre (STAEHELIN, in Basler Kommentar, SchKG I, 1998, n° 29 ad art. 80; GILLIERON, Commentaire de la loi fédérale sur la poursuite pour dettes et la faillite, vol. I, n° 73 s. ad art. 82 LP; arrêt du Tribunal fédéral 5D_133/2009 du 17 novembre 2009, consid. 2). Il incombe au poursuivi de prouver par titre que la dette a été éteinte ou qu'il a obtenu, postérieurement au jugement, un sursis ou encore de se prévaloir de la prescription. Le titre de mainlevée au sens de l'art. 81 al. 1 LP créant la présomption que la dette existe, cette présomption ne peut être renversée que par la preuve stricte du contraire (ATF 124 III 501 consid. 3a). Le débiteur doit donc établir par titre à la fois la cause de l'extinction partielle et le montant exact à concurrence duquel la dette est éteinte. Au regard de la loi et de la jurisprudence, il n'incombe ni au juge de la mainlevée ni au créancier de déterminer cette somme (ATF 124 III 501 consid. 3b).</w:t>
      </w:r>
    </w:p>
    <w:p>
      <w:r>
        <w:rPr>
          <w:b/>
        </w:rPr>
        <w:t>E. 3.2</w:t>
      </w:r>
    </w:p>
    <w:p>
      <w:r>
        <w:t>En l'espèce, ainsi que l'intimé l'a indiqué dans sa requête, le montant litigieux était de 5 fr. Il s'ensuit que, à supposer que les conditions de l'art. 80 LP fussent réalisées, la mainlevée définitive de l'opposition formée au commandement de payer devait être accordée à concurrence du montant précité. Or, le premier juge n'a pas apporté cette précision; ce faisant, il a statué ultra petita. La décision entreprise devra donc être annulée pour ce motif.</w:t>
      </w:r>
    </w:p>
    <w:p>
      <w:r>
        <w:rPr>
          <w:b/>
        </w:rPr>
        <w:t>E. 3.3</w:t>
      </w:r>
    </w:p>
    <w:p>
      <w:r>
        <w:t>Lorsque la cause est en état d'être jugée, l'instance de recours rend une nouvelle décision.</w:t>
      </w:r>
    </w:p>
    <w:p>
      <w:r>
        <w:t>- 5/6 -</w:t>
      </w:r>
    </w:p>
    <w:p>
      <w:r>
        <w:t>C/3624/2013</w:t>
      </w:r>
    </w:p>
    <w:p>
      <w:r>
        <w:t>En l'occurrence, l'amende d'ordre infligée au recourant, non contestée par lui et non acquittée dans le délai d'un mois pour ce faire, s'est transformée en contravention, conformément à la procédure pénale cantonale alors en vigueur. Ainsi que l'indiquait l'avis de contravention, un émolument, objet du commandent de payer, était alors dû en sus du montant de l'amende.</w:t>
      </w:r>
    </w:p>
    <w:p>
      <w:r>
        <w:t>Cet avis de contravention représentait un titre au sens de l'art. 80 LP.</w:t>
      </w:r>
    </w:p>
    <w:p>
      <w:r>
        <w:t>Conformément aux conclusions de première instance de l'intimé, il doit être admis que le montant en poursuite de 70 fr. a été acquitté à raison de 65 fr.</w:t>
      </w:r>
    </w:p>
    <w:p>
      <w:r>
        <w:t>Le recourant ne s'est pas présenté à l'audience du Tribunal du 3 mai 2013 pour faire valoir qu'il aurait versé le solde dû. Les pièces qu'il a ultérieurement déposées, à supposer qu'elles aient été reçues, n'établissent en rien le paiement du montant en poursuite.</w:t>
      </w:r>
    </w:p>
    <w:p>
      <w:r>
        <w:t>Il s'ensuit que la mainlevée définitive de l'opposition formée au commandement de payer devra être prononcée à concurrence de 5 fr.</w:t>
      </w:r>
    </w:p>
    <w:p>
      <w:r>
        <w:rPr>
          <w:b/>
        </w:rPr>
        <w:t>E. 4</w:t>
      </w:r>
    </w:p>
    <w:p>
      <w:r>
        <w:t>Compte tenu de la valeur litigieuse dérisoire de la requête (qui engendre un coût disproportionné) déposée par l'intimé ainsi que la décision erronée rendue par le premier juge, il se justifie que B______ supporte l'entier des frais de la procédure de première instance et de recours (art. 107 let. f, 318 al. 3 CPC). * * * * *</w:t>
      </w:r>
    </w:p>
    <w:p>
      <w:r>
        <w:t>- 6/6 -</w:t>
      </w:r>
    </w:p>
    <w:p>
      <w:r>
        <w:t>C/3624/2013 PAR CES MOTIFS, La Chambre civile : A la forme : Déclare recevable le recours interjeté par A______ contre le jugement JTPI/6337/2013 rendu le 3 mai 2013 par le Tribunal de première instance dans la cause C/3624/2013-20 SML. Au fond : Annule le jugement entrepris. Statuant à nouveau : Prononce, à concurrence de 5 fr. la mainlevée définitive de l'opposition formée au commandement de payer poursuite n° 1______. Déboute les parties de toutes autres ou contraires conclusions. Sur les frais de première instance et de recours : Met les frais, arrêtés à 250 fr., à la charge de B______. Ordonne à B______de rembourser 150 fr. à A______. Siégeant : Monsieur Jean-Marc STRUBIN, président; Madame Sylvie DROIN et Madame Elena SAMPEDRO, juges; Madame Véronique BULUNDWE, greffière.</w:t>
      </w:r>
    </w:p>
    <w:p>
      <w:r>
        <w:t>Le président : Jean-Marc STRUBIN</w:t>
      </w:r>
    </w:p>
    <w:p>
      <w:r>
        <w:t>La greffière : Véronique BULUNDWE</w:t>
      </w:r>
    </w:p>
    <w:p>
      <w:r>
        <w:t>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