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ACJC/103/2024 vom 2. Februar 2024</w:t>
      </w:r>
    </w:p>
    <w:p>
      <w:r>
        <w:t>GE Cour de justice, 2024-02-02, FR</w:t>
      </w:r>
    </w:p>
    <w:p>
      <w:r>
        <w:rPr>
          <w:b/>
        </w:rPr>
        <w:t xml:space="preserve">Quelle: </w:t>
      </w:r>
      <w:r>
        <w:t>https://mcp.opencaselaw.ch/entscheid/ge_gerichte_ACJC_103_2024</w:t>
      </w:r>
    </w:p>
    <w:p>
      <w:r>
        <w:t>FR: GE_GERICHTE ACJC/103/2024 du 2 février 2024</w:t>
      </w:r>
    </w:p>
    <w:p>
      <w:r>
        <w:t>IT: GE_GERICHTE ACJC/103/2024 del 2 febbraio 2024</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 délai et les formes prescrits par la loi (art. 130, 131, 145 al. 1 let. a et 311 al. 1 CPC), l'appel est recevable.</w:t>
      </w:r>
    </w:p>
    <w:p>
      <w:r>
        <w:rPr>
          <w:b/>
        </w:rPr>
        <w:t>E. 2</w:t>
      </w:r>
    </w:p>
    <w:p>
      <w:r>
        <w:t>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w:t>
      </w:r>
    </w:p>
    <w:p>
      <w:r>
        <w:t>Elle applique la maxime des débats et le principe de disposition (art. 55 al. 1 et art. 58 al. 1 CPC).</w:t>
      </w:r>
    </w:p>
    <w:p>
      <w:r>
        <w:rPr>
          <w:b/>
        </w:rPr>
        <w:t>E. 3</w:t>
      </w:r>
    </w:p>
    <w:p>
      <w:r>
        <w:t>L'appelante reproche au Tribunal d'avoir procédé à une constatation inexacte et incomplète des faits sur plusieurs points. L'état de fait présenté ci-dessus a donc été corrigé et complété dans la mesure utile.</w:t>
      </w:r>
    </w:p>
    <w:p>
      <w:r>
        <w:rPr>
          <w:b/>
        </w:rPr>
        <w:t>E. 4</w:t>
      </w:r>
    </w:p>
    <w:p>
      <w:r>
        <w:t>décembre 2012 consid. 3.1).</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w:t>
      </w:r>
    </w:p>
    <w:p>
      <w:r>
        <w:rPr>
          <w:b/>
        </w:rPr>
        <w:t>E. 4.2</w:t>
      </w:r>
    </w:p>
    <w:p>
      <w:r>
        <w:t>En l'occurrence, contrairement à ce que soutient l'appelante, le Tribunal n'a pas mandaté, ni consulté, d'experts dans le cadre de la procédure, sans en informer les parties. En effet, le dossier de première instance ne contient aucune expertise pour déterminer si les travaux litigieux étaient ou non soumis à une autorisation de construire, conformément à la LDTR.</w:t>
      </w:r>
    </w:p>
    <w:p>
      <w:r>
        <w:t>En indiquant s'être fondé sur "l'avis des professionnels consultés dans la procédure", le Tribunal s'est implicitement référé aux pièces du dossier. En effet, dans son courriel du 18 décembre 2018, l'intimée indiquait que tant ses collaborateurs que son architecte estimaient que les travaux litigieux devaient faire l'objet d'une autorisation de construire. Il s'agit également de la position soutenue par l'ASLOCA dans le cadre du litige avec la locataire.</w:t>
      </w:r>
    </w:p>
    <w:p>
      <w:r>
        <w:t>Par ailleurs, à teneur de son appel, l'appelante a été en mesure d'attaquer valablement la motivation du jugement entrepris, qu'elle a aisément comprise.</w:t>
      </w:r>
    </w:p>
    <w:p>
      <w:r>
        <w:t>Le grief de violation du droit d'être entendu est dès lors infondé, que ce soit sous l'angle de l'impossibilité de se déterminer sur de prétendues expertises ou d'une absence de motivation du jugement entrepris.</w:t>
      </w:r>
    </w:p>
    <w:p>
      <w:r>
        <w:rPr>
          <w:b/>
        </w:rPr>
        <w:t>E. 5</w:t>
      </w:r>
    </w:p>
    <w:p>
      <w:r>
        <w:t>L'appelante reproche au Tribunal d'avoir nié l'existence d'un accord conclu entre les parties portant sur le versement d'une somme de 20'000 fr. pour solde de tous comptes en lien avec la vente du capital-actions de E______ SA.</w:t>
      </w:r>
    </w:p>
    <w:p>
      <w:r>
        <w:t>5.1.1 La transaction est le contrat par lequel des parties mettent fin par des concessions réciproques à un litige ou à une incertitude dans laquelle elles se trouvent au sujet d'un rapport de droit. Elle peut être extrajudiciaire ou judiciaire. Dans le second cas, elle est passée devant un juge ou un arbitre, est dotée de la force de chose jugée et constitue un titre exécutoire; elle obéit en grande partie</w:t>
      </w:r>
    </w:p>
    <w:p>
      <w:r>
        <w:t>- 13/24 -</w:t>
      </w:r>
    </w:p>
    <w:p>
      <w:r>
        <w:t>C/6731/2020 aux règles du droit de procédure. Les principes généraux en matière contractuelle s'appliquent en revanche à la transaction extrajudiciaire, notamment en ce qui a trait à la conclusion du contrat (ATF 130 III 49 consid. 1.2; arrêt du Tribunal fédéral 4A_90/2018 du 31 août 2018 consid. 3.2.1; TERCIER, Les contrats spéciaux, 2016, n° 7485 ss, 7495 ss, 7516 ss et 7530).</w:t>
      </w:r>
    </w:p>
    <w:p>
      <w:r>
        <w:t>5.1.2 Le contrat est parfait lorsque les parties ont, réciproquement et d'une manière concordante, manifesté leur volonté (art. 1 al. 1 CO). Le contrat suppose donc un échange de manifestations de volonté réciproques (art. 3 ss CO); le contrat est conclu si l'offre et l'acceptation sont concordantes. Les manifestations de volonté peuvent être tacites (art. 1 al. 2 CO; arrêt du Tribunal fédéral 4A_431/2019 du 27 février 2020 consid. 5.1). Le contrat est parfait sitôt que l'acceptant a déclaré son acceptation (ATF 105 II 23, JdT 1979 I 474).</w:t>
      </w:r>
    </w:p>
    <w:p>
      <w:r>
        <w:t>Si les parties se sont mises d'accord sur tous les points essentiels, le contrat est réputé conclu, lors même que des points secondaires ont été réservés (art. 2 CO). Une manifestation de volonté est faite entre absents, au sens de l'art. 5 CO lorsque le déclarant et le destinataire ne sont pas en contact direct l’un avec l’autre, si bien que le déclarant doit acheminer sa déclaration jusqu’à son destinataire, par exemple en lui adressant un courriel. Une manifestation de volonté entre absents ne parvient en revanche à son destinataire que lorsqu’elle arrive dans sa sphère d’influence de sorte qu’il ne dépend plus que de lui d’en prendre connaissance en organisant normalement ses affaires. La réception d’un courriel intervient en principe dès que son destinataire peut relever le message (MORIN, Commentaire romand, CO I, 2021, n° 12, 15 et 18 ad art. 1 CO). Aux termes de l'art. 9 al. 1 et 2 CO, il est possible de retirer une offre, respectivement une acceptation de l'offre, entre absents pendant un certain laps de temps, car son effet obligatoire ne se produit pas au moment de son émission, mais seulement lors de son arrivée dans la sphère d’influence de son destinataire. Ainsi, l'auteur d'une offre ou d'une acceptation entre absents peut l’annuler unilatéralement, par une déclaration de retrait. Cette manifestation de volonté n’est soumise à aucune forme. Elle peut consister dans le retrait pur et simple de l’offre ou de l'acceptation, ou dans la formulation d’une nouvelle offre, qui modifie en tout ou partie le contenu de l’offre initiale. L'auteur de l'offre ou de l'acceptation n’est toutefois libéré que si sa déclaration de retrait arrive au destinataire de l’offre ou de l'acceptation au plus tard en même temps que celle-ci. A défaut, le retrait est tardif et son auteur reste lié par son offre, respectivement son acceptation (MORIN, op. cit., n° 1 à 3 et 5 ad art. 9 CO).</w:t>
      </w:r>
    </w:p>
    <w:p>
      <w:r>
        <w:t>5.1.3 Tant pour déterminer si un contrat a été conclu que pour l’interpréter, le juge doit tout d’abord s’efforcer de déterminer la commune et réelle intention des parties, sans s’arrêter aux expressions ou dénominations inexactes dont elles ont</w:t>
      </w:r>
    </w:p>
    <w:p>
      <w:r>
        <w:t>- 14/24 -</w:t>
      </w:r>
    </w:p>
    <w:p>
      <w:r>
        <w:t>C/6731/2020 pu se servir, soit par erreur, soit pour déguiser la véritable nature de leur convention (interprétation subjective ; art. 18 al. 1 CO ; ATF 144 III 93 consid. 5.2.2; 132 III 626 consid. 3.1; arrêts du Tribunal fédéral 4A_431/2019 précité et les références).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Ce principe permet d’imputer à une partie le sens objectif de sa déclaration ou de son comportement, même si celui-ci ne correspond pas à sa volonté intime (ATF 144 III 93 consid. 5.2.3; arrêts du Tribunal fédéral 4A_431/2019 précité et les références et 4A_463/2017 du 4 mai 2018 consid. 4.1). L’interprétation objective s’effectue non seulement d’après le texte et le contexte des déclarations, mais également sur le vu des circonstances qui les ont précédées et accompagnées, à l’exclusion des évènements postérieurs (ATF 142 III 239 consid. 5.2.1).</w:t>
      </w:r>
    </w:p>
    <w:p>
      <w:r>
        <w:rPr>
          <w:b/>
        </w:rPr>
        <w:t>E. 5.2</w:t>
      </w:r>
    </w:p>
    <w:p>
      <w:r>
        <w:t>En l'espèce, l'appelante a formulé, par courriel du 26 décembre 2018, une offre transactionnelle portant sur le versement d'une somme de 20'000 fr., "pour solde de tous comptes concernant la vente de E______ SA". Par courriel du 7 janvier 2019 à 16h39, I______ – dont le pouvoir de représenter l'intimée n'est plus contesté en appel – a "remerci[é] pour l'offre des CHF 20'000 qui [était] très appréciable et [qu'elle] accept[ait]". Elle a précisé quelques minutes plus tard que l'acceptation de l'intimée dépendait de l'état d'esprit de la locataire lors de l'audience de conciliation. Si celle-ci demandait plus il conviendrait d'en rediscuter; en effet, l'intimée ne souhaitait pas devoir encore indemniser la locataire alors qu'elle subirait déjà une perte d'état locatif. Il ressort de cet échange, fait entre absents, que l'acceptation de l'intimée exprimée le 7 janvier 2019 ne portait pas sur l'offre telle que formulée par l'appelante. L'intimée se limitait à accepter un dédommagement de 20'000 fr. pour liquider le</w:t>
      </w:r>
    </w:p>
    <w:p>
      <w:r>
        <w:t>- 15/24 -</w:t>
      </w:r>
    </w:p>
    <w:p>
      <w:r>
        <w:t>C/6731/2020 cas de J______. Il n'y a, par conséquent, pas eu acceptation par l'intimée de l'offre formulée par l'appelante, mais une contre-offre. Dès le 14 janvier 2019, suite à l'audience de la Commission de conciliation consacrée au dossier J______, il ressort des échanges de courriels que les parties ont articulé respectivement d'autres offres qui n'ont pas acceptées. Notamment l'intimée n'a jamais accepté la condition systématiquement réitérée par l'appelante d'un accord valant solde de tout compte des prétentions découlant de la garantie du vendeur dans le cadre de la vente de E______ SA. C'est ainsi à raison que le premier juge a retenu que les parties ne s'étaient jamais exprimées de manière concordante, l'intimée ne souhaitant pas trouver un arrangement global pour solde de tout compte dans la vente du capital-actions de E______ SA, mais uniquement un accord concernant le litige avec la locataire J______.</w:t>
      </w:r>
    </w:p>
    <w:p>
      <w:r>
        <w:rPr>
          <w:b/>
        </w:rPr>
        <w:t>E. 6</w:t>
      </w:r>
    </w:p>
    <w:p>
      <w:r>
        <w:t>L'appelante fait grief au Tribunal d'avoir retenu, dans le cadre du contrat de vente liant les parties, l'existence d'un défaut relatif à la chose vendue et d'un avis des défauts formulé en temps utile par l'intimée. En outre, cette dernière ne pouvait pas se prévaloir de la garantie formulée à l'art. 6 de la convention du 18 avril 2017, puisqu'elle ne lui avait pas laissé l'opportunité d'agir et de défendre sa thèse dans le cadre de la procédure initiée par la locataire.</w:t>
      </w:r>
    </w:p>
    <w:p>
      <w:r>
        <w:t>6.1.1 Selon l'art. 184 CO, la vente est un contrat par lequel le vendeur s'oblige à livrer la chose vendue à l'acheteur et à lui en transférer la propriété, moyennant un prix que l'acheteur s'engage à lui payer.</w:t>
      </w:r>
    </w:p>
    <w:p>
      <w:r>
        <w:t>6.1.2 En cas de livraison d'une chose défectueuse, l'acheteur peut agir alternativement contre le vendeur sur la base des art. 97 et 197 CO. Il ne peut toutefois recourir à l'action générale en dommages-intérêts dérivant de la responsabilité contractuelle que s'il respecte les conditions d'exercice de l'action spéciale en garantie en raison des défauts de la chose, soit les devoirs de vérification et d'avis (art. 201 CO) et le délai de prescription (art. 210 et 219 al. 3 CO) (ATF 133 III 335 consid. 2; 114 II 131 consid. 1a; 107 II 419 consid. 1; arrêt du Tribunal fédéral 4A_472/2010 du 26 novembre 2010 consid. 2.1).</w:t>
      </w:r>
    </w:p>
    <w:p>
      <w:r>
        <w:t>Aux termes de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w:t>
      </w:r>
    </w:p>
    <w:p>
      <w:r>
        <w:t>Il y a défaut au sens de cette disposition lorsque la chose livrée s'écarte de ce qu'elle devrait être en vertu du contrat de vente, parce qu'elle est dépourvue d'une qualité dont le vendeur avait promis l'existence ou d'une qualité à laquelle</w:t>
      </w:r>
    </w:p>
    <w:p>
      <w:r>
        <w:t>- 16/24 -</w:t>
      </w:r>
    </w:p>
    <w:p>
      <w:r>
        <w:t>C/6731/2020 l'acheteur pouvait s'attendre selon les règles de la bonne foi (ATF 114 II 239 consid. 5a/aa; arrêts du Tribunal fédéral 4A_627/2020 du 4 août 2021 consid. 4.1 et 4A_619/2013 du 20 mai 2014 consid. 4.1).</w:t>
      </w:r>
    </w:p>
    <w:p>
      <w:r>
        <w:t>Le vice peut notamment affecter une qualité juridique de la chose. C'est le cas lorsque la chose ne correspond pas aux exigences juridiques ou ne permet pas à l'acheteur pour ce motif d'en tirer toutes les utilités (VENTURI/ZEN-RUFFINEN, Commentaire romand CO I, 2021, n° 5 ad art. 197 CO).</w:t>
      </w:r>
    </w:p>
    <w:p>
      <w:r>
        <w:t>Le fardeau de la preuve du défaut incombe à l'acheteur (art. 8 CC; VENTURI/ZEN- RUFFINEN, op. cit., n° 10 ad art. 197 CO; TERCIER/BIERI/CARRON, Les contrats spéciaux, 2016, n° 656, p. 94).</w:t>
      </w:r>
    </w:p>
    <w:p>
      <w:r>
        <w:t>6.1.3 L'acheteur a l'obligation de vérifier l'état de la chose reçue aussitôt qu'il le peut d'après la marche habituelle des affaires; s'il découvre des défauts dont le vendeur est garant, il doit l'en aviser sans délai (art. 201 al. 1 CO). Lorsqu'il néglige de le faire, la chose est tenue pour acceptée, à moins qu'il ne s'agisse de défauts que l'acheteur ne pouvait découvrir à l'aide des vérifications usuelles (art. 201 al. 2 CO), soit de défauts cachés.</w:t>
      </w:r>
    </w:p>
    <w:p>
      <w:r>
        <w:t>S'il s'agit de défauts cachés, l'acheteur les signalera immédiatement après leur découverte, ce qui implique une connaissance certaine de manière à pouvoir formuler une réclamation suffisamment motivée; l'acheteur ne doit pas avoir de doute quant au défaut (ATF 131 III 145, JdT 2007 I 261; VENTURI/ZEN- RUFFINEN, op. cit., n° 16 ad art. 201 CO). L'avis des défauts n'est pas soumis à une forme particulière (ATF 107 II 172 consid. 1a, JdT 1981 I 598). Selon la jurisprudence, un avis des défauts communiqué deux ou trois jours ouvrables après la découverte de ceux-ci respecte la condition d'immédiateté prévue par la loi (ATF 98 II 191 consid. 4; 76 Il 221 consid. 3). Il en va de même d'un délai d'une semaine (arrêt du Tribunal fédéral 4C.82/2004 du 3 mai 2004 consid. 2.3). En revanche sont tardifs des avis transmis dix-sept ou vingt jours après la découverte des défauts (ATF 118 II 142 consid. 3b; arrêt du Tribunal fédéral 4A_245/2018 du 4 juillet 2018 consid. 2.2.1).</w:t>
      </w:r>
    </w:p>
    <w:p>
      <w:r>
        <w:t>Il appartient à l'acheteur de prouver qu'il a respecté son devoir lorsque le vendeur allègue la tardiveté de l'avis des défauts (ATF 118 II 142 consid. 3a; 107 II 50 consid. 2a; arrêts du Tribunal fédéral 4A_28/2017 du 28 juin 2017 consid. 4 et 4A_405/2017 du 30 novembre 2017 consid. 3.3).</w:t>
      </w:r>
    </w:p>
    <w:p>
      <w:r>
        <w:t>6.1.4 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w:t>
      </w:r>
    </w:p>
    <w:p>
      <w:r>
        <w:t>- 17/24 -</w:t>
      </w:r>
    </w:p>
    <w:p>
      <w:r>
        <w:t>C/6731/2020 transformation ou rénovation de tout ou partie d'une maison d'habitation (art. 9 al. 1 LDTR).</w:t>
      </w:r>
    </w:p>
    <w:p>
      <w:r>
        <w:t>A teneur de l'art. 3 al. 1 let. d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Sont considérés comme tels et non assujettis à la LDTR, les travaux courants qui font partie des frais d'exploitation ordinaires d'une maison d'habitation; les travaux raisonnables d'entretien régulier ne sont pas considérés comme travaux de transformation, pour autant qu'ils n'engendrent pas une amélioration du confort existant (art. 3 al. 2 LDTR).</w:t>
      </w:r>
    </w:p>
    <w:p>
      <w:r>
        <w:t>La distinction entre travaux d'entretien et travaux de transformation peut être délicate à opérer. Le critère de l'accroissement du confort existant est déterminant pour distinguer des travaux de transformation des travaux d'entretien, la LDTR ne devant pas instituer un contrôle général des loyers. Il est toutefois possible de s'en écarter lorsque l'importance des travaux justifie d'assimiler les travaux de rénovation à des travaux de transformation (arrêt du Tribunal fédéral 1C_323/2014 du 10 octobre 2014 consid. 7.1.2).</w:t>
      </w:r>
    </w:p>
    <w:p>
      <w:r>
        <w:t>Pour opérer la distinction entre travaux d'entretien et travaux de transformation, le raisonnement, admis de manière constante par la Chambre administrative de la Cour de justice, se décline en deux temps. Premièrement, il faut examiner, si, de par leur nature, les travaux en cause relèvent de l'entretien ou, au contraire, consistent en des travaux de rénovation, la jurisprudence de la Chambre administrative précisant, sur ce point,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(travaux différés). Secondement, il convient de s'attacher à l'ampleur et, partant, au coût desdits travaux et à leur répercussion sur le montant du loyer, dès lors qu'il pourrait en résulter un changement d'affectation qualitatif des logements (ATA/651/2022 du 23 juin 2022 consid. 7b; ATA/422/2020 du 30 avril 2020 consid. 6 et les arrêts cités).</w:t>
      </w:r>
    </w:p>
    <w:p>
      <w:r>
        <w:t>L'exécution de travaux de remise en état auxquels le bailleur est tenu en vertu du CO ne procure en général pas un confort supplémentaire au locataire par rapport à ce qui est convenu dans le contrat de bail. Seules les remises en état qui vont au- delà de ce qui est nécessaire pour assurer le maintien de la chose louée en l'état tombent sous le coup de l'art. 3 al. 1 let. d LDTR (arrêts du Tribunal fédéral</w:t>
      </w:r>
    </w:p>
    <w:p>
      <w:r>
        <w:t>- 18/24 -</w:t>
      </w:r>
    </w:p>
    <w:p>
      <w:r>
        <w:t>C/6731/2020 1C_323/2014 précité consid. 7.1.2; 1C_624/2013 du 13 février 2014 consid. 2.5 et 1P.664/1999 du 1er septembre 2000 consid. 3). Les travaux d'entretien visent à maintenir l'ouvrage dans son état en réparant les atteintes dues au temps ou à l'usage. Peuvent également être considérés comme tels, des travaux qui, dépassant le strict entretien, consistent à substituer à des installations intérieures vétustes des éléments neufs servant au même usage, soit simplement à moderniser une construction sans en modifier la nature, le caractère et l'affectation (ATA/211/1997 du 8 avril 1997).</w:t>
      </w:r>
    </w:p>
    <w:p>
      <w:r>
        <w:t>L'installation de nouveaux sanitaires, l'agencement d'une cuisine, la mise en conformité de l'installation électrique, la pose de nouveaux revêtements de sols et de parois ainsi que des travaux de peinture et de serrurerie relèvent en principe de l'entretien au regard de leur nature (ATA/40/2010 du 26 janvier 2010). C'est lorsqu'ils sont effectués séparément, et selon les circonstances, que chacun de ces travaux peuvent être qualifiés de travaux d'entretien. Cela ne signifie pas qu'une rénovation comprenant l'ensemble des travaux devra nécessairement elle aussi être considérée comme étant limitée à des travaux d'entretien (arrêt du Tribunal fédéral 1C_405/2015 du 6 avril 2016 consid. 4.3).</w:t>
      </w:r>
    </w:p>
    <w:p>
      <w:r>
        <w:t>Le Tribunal fédéral a considéré que, pour des travaux d'une certaine ampleur, dont il peut être présumé, de façon réfragable, qu'ils procurent un accroissement du confort, et à la suite desquels le loyer a presque été doublé, il n'est pas arbitraire de considérer qu'ils dépassent les simples travaux d'entretien (arrêt du Tribunal fédéral 1C_405/2015 précité consid. 4.3). Le coût des travaux, lorsqu'il n'est pas suffisamment important pour entraîner un assujettissement incontestable à la LDTR, n'est pas susceptible d'entraîner à lui seul une soumission des travaux à la LDTR. C'est la combinaison de ce montant et de son impact sur les loyers qui est jugée déterminante (ATA/651/2022 précité consid. 7b et l'arrêt cité).</w:t>
      </w:r>
    </w:p>
    <w:p>
      <w:r>
        <w:t>La Chambre administrative a considéré que n'étaient pas soumis à la LDTR des travaux d'entretien différés ou non dans le temps, dont le coût par pièce était inférieur à 10'000 fr. (ATA/642/2013 du 1er octobre 2013; ATA/40/2010 du 26 janvier 2010; ATA/96/2007 du 6 mars 2007).</w:t>
      </w:r>
    </w:p>
    <w:p>
      <w:r>
        <w:t>Dans le cadre de deux arrêts récents (ATA/651/2022 du 23 juin 2022 consid. 8; ATA/870/2023 du 22 août 2023 consid. 5.5 et 5.6), la Chambre administrative s'est livrée à une casuistique de sa jurisprudence en matière de travaux répondant à la définition de rénovation. Il en ressort en substance que doivent en principe être qualifiés de rénovation des travaux entrepris à l'occasion d'un changement de locataire, pour des montants dépassant le seuil de 10'000 fr. par pièce, suivi d'une hausse sensible du loyer – même si celle-ci est formellement motivée par les loyers comparatifs du quartier, lesquels ne justifient toutefois pas la hausse exigée</w:t>
      </w:r>
    </w:p>
    <w:p>
      <w:r>
        <w:t>- 19/24 -</w:t>
      </w:r>
    </w:p>
    <w:p>
      <w:r>
        <w:t>C/6731/2020 –, portant sur la réfection ou le remplacement complet des faïences, des peintures, de l'installation électrique, des installations sanitaires, de l'agencement de cuisine et des sols.</w:t>
      </w:r>
    </w:p>
    <w:p>
      <w:r>
        <w:t>C’est le département, et non l’administré, qui détermine dans chaque cas si des travaux relèvent de l’entretien ou de la transformation. Il incombe au propriétaire, en cas de doute, de demander l’avis du département et d’effectuer les démarches nécessaires pour agir en conformité de la loi (ATA/694/2016 du 23 août 2016 consid. 7; GAIDE/DEFAGO-GAUDIN, La LDTR : démolition, transformation, changement d'affectation et aliénation. Immeubles de logement et appartements, 2014, p. 186).</w:t>
      </w:r>
    </w:p>
    <w:p>
      <w:r>
        <w:t>6.2.1 En l'espèce, les parties se sont liées par un contrat de vente ayant pour objet la cession du capital-actions de E______ SA, par lequel l'appelante garantissait à l'intimée que l'immeuble respectait notamment la LDTR (art. 4 de la convention du 18 avril 2017).</w:t>
      </w:r>
    </w:p>
    <w:p>
      <w:r>
        <w:t>L'existence d'un défaut au sens de l'art. 197 CO dépend ainsi de la qualification juridique des travaux exécutés en 2015 et de leur éventuelle soumission à autorisation, conformément à la LDTR.</w:t>
      </w:r>
    </w:p>
    <w:p>
      <w:r>
        <w:t>L'intimée a soutenu, en première instance, que les travaux litigieux étaient d'une grande ampleur, de sorte qu'ils étaient soumis à autorisation, ce que l'appelante a contesté de manière générale. A l'appui de son allégation, l'intimée a produit l'échange de courriels intervenu entre les parties, comprenant son propre courriel du 18 octobre 2018, dans lequel elle indiquait avoir reçu une liste desdits travaux de la régie mandatée par l'appelante, précisant qu'ils s'élevaient à 44'832 fr., soit 9'490 fr. pour le carrelage de la salle de bain et la cuisine, 4'619 fr. pour l'électricité, 10'805 fr. pour la rénovation de la salle de bain et de la cuisine, 8'901 fr. pour l'agencement de la cuisine et 11'017 fr. pour la peinture. L'appelante n'a pas contesté ces chiffres, ni le fait qu'elle les avait fournis, ni n'en a allégué d'autres, que ce soit au cours de l'échange de courriels, en 2018-2019, ou dans le cadre de la présente procédure. Il y a par conséquent lieu de les retenir. Ces montants sont importants et dépassent la limite de 10'000 fr. par pièce. Le bail de J______ précisait que l'appartement avait fait l'objet d'un "rafraichissement partiel". Ces termes consacrent une sous-estimation de l'ampleur des travaux au vu de leur coût. L'appelante a elle-même soutenu que les installations sanitaires et la cuisine de l'appartement étaient vétustes, de sorte qu'elle avait procédé à leur changement, avec les travaux de peinture et de carrelage y relatifs, ce que l'intimée a admis en audience (cf. allégué n° 43 du</w:t>
      </w:r>
    </w:p>
    <w:p>
      <w:r>
        <w:t>- 20/24 -</w:t>
      </w:r>
    </w:p>
    <w:p>
      <w:r>
        <w:t>C/6731/2020 mémoire réponse du 31 mars 2021 et le procès-verbal de l'audience du 1er juillet 2021). Il n'est pas contesté que ces travaux ont été entrepris de manière regroupée entre la fin du bail du locataire précédent et la conclusion du bail par J______. L'appartement, vétuste selon les termes de l'appelante, a été doté d'installations et de revêtements neufs, ce qui correspond à de l'entretien différé et justifie de retenir une rénovation.</w:t>
      </w:r>
    </w:p>
    <w:p>
      <w:r>
        <w:t>L'augmentation de loyer exigée par l'intimée à la conclusion du bail, le 17 septembre 2015, était de l'ordre de 50 % et justifiée par les loyers usuels du quartier, étant précisé que le loyer précédent avait été fixé en septembre 2014. L'appelante a soutenu que la fixation du loyer initial de la locataire J______ correspondait à la sortie de l'immeuble du régime HLM au 1er janvier 2015, ce qui aurait justifié son importante majoration par son adaptation aux loyers usuels du quartier. Or, un tel motif ne ressort pas de la formule de fixation initiale du loyer, ni du bail. Il n'est pas compatible non plus avec le fait que la précédente fixation du loyer ne remontait qu'à septembre 2014, soit à peine plus d'une année, alors que l'immeuble, selon les propres termes de l'appelante avait été construit plus de vingt ans auparavant. C'est ainsi essentiellement la rénovation de l'appartement qui justifiait l'importante hausse de loyer fondée sur l'adaptation aux loyers du quartier.</w:t>
      </w:r>
    </w:p>
    <w:p>
      <w:r>
        <w:t>Les parties ont admis ne pas avoir interpellé le département compétent pour déterminer si, en l'occurrence, les travaux entrepris étaient assujettis à la LDTR et soumis à autorisation, alors que la question se posait. L'appelante doit par conséquent se laisser imputer l'incertitude qu'elle a laissé planer sur la qualification des travaux entrepris en 2015, en ne soumettant pas la rénovation de l'appartement litigieux au département compétent.</w:t>
      </w:r>
    </w:p>
    <w:p>
      <w:r>
        <w:t>Au regard de la jurisprudence relative à l'art. 3 al. 1 let. d LDTR rappelée ci- dessus, l'ensemble de ces circonstances conduisent la Cour a retenir que les travaux litigieux consistaient en une rénovation de l'appartement et non en de le l'entretien.</w:t>
      </w:r>
    </w:p>
    <w:p>
      <w:r>
        <w:t>L'intimée a ainsi établi que les travaux en question étaient soumis à autorisation au sens de la LDTR et que l'absence de celle-ci constituait donc un défaut.</w:t>
      </w:r>
    </w:p>
    <w:p>
      <w:r>
        <w:t>6.2.2 L'appelante conteste que l'intimée a procédé à l'avis des défauts en temps utile.</w:t>
      </w:r>
    </w:p>
    <w:p>
      <w:r>
        <w:t>L'intimée a eu connaissance d'une problématique liée à des travaux non autorisés suite au dépôt de la requête en fixation du loyer judiciaire du 6 août 2018, ce qu'elle a admis en audience devant le Tribunal. En effet, l'intimée a reçu cette requête par courrier du même jour, ainsi que durant la dernière semaine de</w:t>
      </w:r>
    </w:p>
    <w:p>
      <w:r>
        <w:t>- 21/24 -</w:t>
      </w:r>
    </w:p>
    <w:p>
      <w:r>
        <w:t>C/6731/2020 septembre de la part de la Commission de conciliation en matière de baux et loyers. Dans le cadre de cette requête, l'ASLOCA mentionnait que la cuisine et la salle de bain de l'appartement avaient été refaites.</w:t>
      </w:r>
    </w:p>
    <w:p>
      <w:r>
        <w:t>Ce n'est toutefois que dans le cadre de l'échange de courriels du mois d'octobre 2018 que l'intimée a eu connaissance des éléments permettant de retenir que la chose vendue présentait un défaut, soit l'ampleur exacte des travaux et leur valeur, impliquant l'assujettissement à l'obligation de requérir une autorisation, et qu'elle en a immédiatement avisé l'appelante.</w:t>
      </w:r>
    </w:p>
    <w:p>
      <w:r>
        <w:t>L'échange de courriels ne permet pas de connaître la date précise à laquelle l'intimée a reçu la liste des travaux avec leur valeur, mentionnée dans son message du 18 octobre 2018. Elle a allégué avoir reçu cette liste le 18 octobre 2018 d'un employé de la régie B______, soit parallèlement à l'échange de courriels des 17 et 18 octobre 2018 entre les parties. Cette allégation est compatible avec les termes desdits courriels. De son côté, l'appelante a réfuté en bloc et sans autre précision l'ensemble des allégués de l'intimée concernant la découverte et l'avis des défauts. Une telle contestation est sans portée au vu des allégués et pièces détaillés de l'intimée sur cet objet (ATF 147 III 440, consid. 5.3; arrêt du Tribunal fédéral 4A_377/2021 du 29 juin 2022 consid 3). Pour contester valablement les allégués de l'intimée, l'appelante aurait dû préciser quand, selon elle, l'intimée aurait reçu de sa régie la liste des travaux effectués et offrir de le prouver par la production des échanges entre la régie et l'intimée, dans la mesure où cette réception aurait eu lieu plus de 15 jours avant l'avis des défauts du 18 octobre 2018. Les allégués de l'intimée sont en conséquence réputés non contestés.</w:t>
      </w:r>
    </w:p>
    <w:p>
      <w:r>
        <w:t>Dans ces circonstances, l'intimée a établi que l'avis des défauts avait été formulé en temps utile.</w:t>
      </w:r>
    </w:p>
    <w:p>
      <w:r>
        <w:rPr>
          <w:b/>
        </w:rPr>
        <w:t>E. 6.3</w:t>
      </w:r>
    </w:p>
    <w:p>
      <w:r>
        <w:t>L'appelante se prévaut de la teneur de l'art. 6 de la convention de vente d'actions du 18 avril 2017 pour se libérer de toute garantie envers l'intimée, cette dernière ne lui ayant pas permis de participer à la procédure contre J______.</w:t>
      </w:r>
    </w:p>
    <w:p>
      <w:r>
        <w:t>En l'occurrence, l'appelante a été informée de l'ouverture d'une procédure par J______ et de ses développements devant la Commission de conciliation en matière de bail à loyer. Les parties ont discuté de la stratégie à adopter dans la procédure de conciliation et l'intimée l'a respectée. Aucune transaction n'a été possible à ces conditions lors des audiences du 17 octobre 2018 et 9 janvier 2019, de sorte que l'autorisation de citer a été délivrée et la cause introduite par la locataire devant le Tribunal des baux et loyers. L'appelante n'a pas participé aux audiences de conciliation du 17 octobre 2018 et 9 janvier 2019. Elle n'est pas non plus formellement intervenue à la procédure.</w:t>
      </w:r>
    </w:p>
    <w:p>
      <w:r>
        <w:t>- 22/24 -</w:t>
      </w:r>
    </w:p>
    <w:p>
      <w:r>
        <w:t>C/6731/2020 Il ressort des courriels échangés entre les parties en janvier 2019, notamment celui du 25 janvier 2019 de l'appelante, que cette dernière persistait à contester avoir entrepris des travaux dépassant l'entretien ordinaire et acceptait uniquement de verser un dédommagement de 30'000 fr. pour solde de tout compte s'agissant de la garantie du vendeur dans la vente de E______ SA.</w:t>
      </w:r>
    </w:p>
    <w:p>
      <w:r>
        <w:t>L'intimée a sur ces entrefaites accepté de transiger la cause peu après l'introduction de la cause devant le Tribunal par la locataire, le 29 janvier 2019, en renonçant à la hausse de loyer de 2015 et en indemnisant la locataire à hauteur de 30'000 fr. Elle n’a pas consulté l'appelante préalablement.</w:t>
      </w:r>
    </w:p>
    <w:p>
      <w:r>
        <w:t>Il ressort de ces circonstances que l'intimée a informé l'appelante de la procédure avec la locataire et a collaboré avec elle en développant une stratégie commune au stade de la conciliation. L'appelante a choisi de ne pas intervenir formellement dans la procédure. Compte tenu de la position inamovible adoptée par l'appelante dans le courant du mois de janvier 2019, qui ne consistait pas tant à régler le litige avec la locataire, qu'à obtenir un solde de tout compte de l'intimée, cette dernière était fondée à choisir de transiger avec la locataire, sans plus en référer à l'appelante. Elle avait en effet rempli ses obligations à teneur de l'art. 6 de la convention de vente de E______ SA et l'appelante n'était pas intervenue dans le litige de droit du bail opposant l'intimée à J______, son seul intérêt étant de négocier une clause pour solde de tout compte avec l'intimée. L'intimée était en outre fondée à considérer que la stratégie souhaitée par l'appelante était vouée à l'échec et à s'en désolidariser, une fois la procédure introduite par la locataire. L'appelante ne peut donc se prévaloir de l'art. 6 de la convention de vente pour se libérer de son obligation de garantie.</w:t>
      </w:r>
    </w:p>
    <w:p>
      <w:r>
        <w:rPr>
          <w:b/>
        </w:rPr>
        <w:t>E. 6.4</w:t>
      </w:r>
    </w:p>
    <w:p>
      <w:r>
        <w:t>Finalement, l'appelante conteste le montant du dommage admis par le Tribunal, soit 30'000 fr. versé par l'intimée à la locataire. En indemnisant la locataire à concurrence dudit montant, l'intimée aurait épargné des impôts, soit 8'100 fr. à déduire du dommage alloué. S'il est probable que l'intimée a vu ses impôts diminuer du fait de l'indemnisation versée à J______ en 2019, son chiffre d'affaires, respectivement son bénéfice, ayant été amputés de 30'000 fr., elle verra son chiffre d'affaires, respectivement son bénéfice, augmenter dans une même mesure lorsqu'elle touchera le dédommagement de l'appelante. Elle subira par conséquent à ce moment l'imposition fiscale à laquelle elle avait échappé en 2019. Contrairement à ce que soutient l'appelante, l'intimée ne réalisera aucune opération fiscale bénéficiaire du fait du dédommagement de J______ puis de la réparation du préjudice subi par l'intimée. L'opération apparaît neutre sur le plan fiscal pour elle. Partant, aucune imputation ne se justifie sur l'indemnisation de 30'000 fr. allouée par le Tribunal.</w:t>
      </w:r>
    </w:p>
    <w:p>
      <w:r>
        <w:rPr>
          <w:b/>
        </w:rPr>
        <w:t>E. 6.5</w:t>
      </w:r>
    </w:p>
    <w:p>
      <w:r>
        <w:t>En définitive, le jugement entrepris sera confirmé.</w:t>
      </w:r>
    </w:p>
    <w:p>
      <w:r>
        <w:t>- 23/24 -</w:t>
      </w:r>
    </w:p>
    <w:p>
      <w:r>
        <w:t>C/6731/2020</w:t>
      </w:r>
    </w:p>
    <w:p>
      <w:r>
        <w:rPr>
          <w:b/>
        </w:rPr>
        <w:t>E. 7</w:t>
      </w:r>
    </w:p>
    <w:p>
      <w:r>
        <w:t>Les frais judiciaires d'appel seront arrêtés à 1'800 fr. (art. 17 et 35 RTFMC) et mis à la charge de l'appelante, qui succombe (art. 106 al. 1 CPC). Ils seront compensés avec l'avance de frais, d'un montant correspondant, qu'elle a fournie, laquelle reste acquise à l'Etat de Genève (art. 111 al. 1 CPC).</w:t>
      </w:r>
    </w:p>
    <w:p>
      <w:r>
        <w:t>Il sera alloué des dépens d'appel en 4'000 fr. à l'intimée (art. 106 al. 1 CPC; art. 84 ss RTFMC). * * * * *</w:t>
      </w:r>
    </w:p>
    <w:p>
      <w:r>
        <w:t>- 24/24 -</w:t>
      </w:r>
    </w:p>
    <w:p>
      <w:r>
        <w:t>C/6731/2020 PAR CES MOTIFS, La Chambre civile : A la forme : Déclare recevable l'appel interjeté le 26 avril 2022 par A______ SA contre le jugement JTPI/2934/2022 rendu le 9 mars 2022 par le Tribunal de première instance dans la cause C/6731/2020. Au fond : Confirme le jugement entrepris. Déboute les parties de toutes autres conclusions. Sur les frais : Arrête les frais judiciaires d'appel à 1'800 fr., les met à la charge de A______ SA et les compense avec l'avance fournie par cette dernière, laquelle reste acquise à l'Etat de Genève. Condamne A______ SA à verser à C______ SA 4'000 fr. à titre de dépens d'appel. Siégeant : Monsieur Ivo BUETTI, président;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