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ACJC/1038/2018 vom 22. August 2018</w:t>
      </w:r>
    </w:p>
    <w:p>
      <w:r>
        <w:t>GE Cour de justice, 2018-08-22, FR</w:t>
      </w:r>
    </w:p>
    <w:p>
      <w:r>
        <w:rPr>
          <w:b/>
        </w:rPr>
        <w:t xml:space="preserve">Quelle: </w:t>
      </w:r>
      <w:r>
        <w:t>https://mcp.opencaselaw.ch/entscheid/ge_gerichte_ACJC_1038_2018</w:t>
      </w:r>
    </w:p>
    <w:p>
      <w:r>
        <w:t>FR: GE_GERICHTE ACJC/1038/2018 du 22 août 2018</w:t>
      </w:r>
    </w:p>
    <w:p>
      <w:r>
        <w:t>IT: GE_GERICHTE ACJC/1038/2018 del 22 agosto 2018</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Si le dernier jour est un samedi, un dimanche ou un jour férié, le délai expire le premier jour ouvrable qui suit (art. 142 al. 3 CPC).</w:t>
      </w:r>
    </w:p>
    <w:p>
      <w:r>
        <w:rPr>
          <w:b/>
        </w:rPr>
        <w:t>E. 1.2</w:t>
      </w:r>
    </w:p>
    <w:p>
      <w:r>
        <w:t>En l'espèce, l'appel a été introduit en temps utile, et selon la forme prescrite par la loi (art. 311 al. 1 CPC). Au dernier état des conclusions devant le Tribunal, la cause portait tant sur des conclusions patrimoniales que non patrimoniales, à savoir la garde des enfants mineurs. Il sera donc admis que la cause est non patrimoniale dans son ensemble. L'appel est partant recevable.</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w:t>
      </w:r>
    </w:p>
    <w:p>
      <w:r>
        <w:t>- 7/18 -</w:t>
      </w:r>
    </w:p>
    <w:p>
      <w:r>
        <w:t>C/22769/2016</w:t>
      </w:r>
    </w:p>
    <w:p>
      <w:r>
        <w:rPr>
          <w:b/>
        </w:rPr>
        <w:t>E. 3</w:t>
      </w:r>
    </w:p>
    <w:p>
      <w:r>
        <w:t>Les parties, qui sont de nationalité étrangère, sont domiciliées à Genève. Avec raison, elles ne remettent pas en cause la compétence de la Cour de justice pour connaître du litige en appel (art. 46 et 79 al. 1 LDIP), ni l'application du droit suisse (art. 49 et 83 al. 1 LDIP; art. 4 de la Convention de La Haye du 2 octobre 1973 sur la loi applicable aux obligations alimentaires [RS 0.211.213.01]).</w:t>
      </w:r>
    </w:p>
    <w:p>
      <w:r>
        <w:rPr>
          <w:b/>
        </w:rPr>
        <w:t>E. 4</w:t>
      </w:r>
    </w:p>
    <w:p>
      <w:r>
        <w:t>Les parties ont produit des pièces nouvelles à l'appui de leurs écritures respectives.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w:t>
      </w:r>
    </w:p>
    <w:p>
      <w:r>
        <w:rPr>
          <w:b/>
        </w:rPr>
        <w:t>E. 4.2</w:t>
      </w:r>
    </w:p>
    <w:p>
      <w:r>
        <w:t>En l'espèce, les pièces nouvelles produites par les parties sont recevables dans la mesure où elles portent sur leur situation personnelle ou financière et sont susceptibles d'influer le sort du montant des contributions d'entretien dues à leurs enfants mineurs.</w:t>
      </w:r>
    </w:p>
    <w:p>
      <w:r>
        <w:rPr>
          <w:b/>
        </w:rPr>
        <w:t>E. 5</w:t>
      </w:r>
    </w:p>
    <w:p>
      <w:r>
        <w:t>L'appelante remet en cause le montant des contributions d'entretien fixées par le premier juge.</w:t>
      </w:r>
    </w:p>
    <w:p>
      <w:r>
        <w:rPr>
          <w:b/>
        </w:rPr>
        <w:t>E. 5.1</w:t>
      </w:r>
    </w:p>
    <w:p>
      <w:r>
        <w:t>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w:t>
      </w:r>
    </w:p>
    <w:p>
      <w:r>
        <w:rPr>
          <w:b/>
        </w:rPr>
        <w:t>E. 5.1.1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w:t>
      </w:r>
    </w:p>
    <w:p>
      <w:r>
        <w:t>- 8/18 -</w:t>
      </w:r>
    </w:p>
    <w:p>
      <w:r>
        <w:t>C/22769/2016 qu'engendre la vie séparée. Il se peut donc que, suite à cet examen, le juge doive modifier la convention conclue pour la vie commune, pour l'adapter à ces faits nouveaux (ATF 137 III 385 consid. 3.1).</w:t>
      </w:r>
    </w:p>
    <w:p>
      <w:r>
        <w:rPr>
          <w:b/>
        </w:rPr>
        <w:t>E. 5.1.2</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 sabilité (RS/GE E 3 60.04) et tenir notamment compte du loyer, des cotisations d'assurance-maladie et des impôts. Le minimum vital du débirentier doit dans tous les cas être préservé (ATF 135 III 66 consid. 2; 123 III 1 consid. 3b/bb et consid. 5 in fine; arrêt du Tribunal fédéral 5A_662/2013 du 24 juin 2014 consid. 3.2.1).</w:t>
      </w:r>
    </w:p>
    <w:p>
      <w:r>
        <w:rPr>
          <w:b/>
        </w:rPr>
        <w:t>E. 5.1.3</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w:t>
      </w:r>
    </w:p>
    <w:p>
      <w:r>
        <w:rPr>
          <w:b/>
        </w:rPr>
        <w:t>E. 5.1.4</w:t>
      </w:r>
    </w:p>
    <w:p>
      <w:r>
        <w:t>Depuis le 1er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w:t>
      </w:r>
    </w:p>
    <w:p>
      <w:r>
        <w:t>- 9/18 -</w:t>
      </w:r>
    </w:p>
    <w:p>
      <w:r>
        <w:t>C/22769/2016 Betreuungsunterhalt nach Schweizer Art, FamRz 62/2015 p. 1567; STOUDMANN, Le nouveau droit de l'entretien de l'enfant en pratique, RMA 2016 p. 427 ss,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(Message du Conseil fédéral du 29 novembre 2013 concernant la révision du code civil suisse [Entretien de l'enfant], FF 2014 p. 511 ss,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La prise en charge de l'enfant ne donne droit à une contribution que si elle a lieu à un moment où le parent pourrait sinon exercer une activité rémunérée. La prise en charge de l'enfant pendant le temps libre (par exemple le weekend) ne donne ainsi en principe pas droit à une contribution (Message, p. 536 et 556; STOUDMANN, op. cit., p. 429 s.). Lorsqu'un parent s'occupe proportionnellement davantage de l'enfant tout en disposant de ressources suffisantes pour subvenir à son propre entretien, aucune contribution de prise en charge n'est due, la prise en charge de l'enfant étant garantie (Message du Conseil fédéral, p. 557; SPYCHER, op. cit, p. 25; STOUDMANN, op. cit., p. 432). Il revient toujours au juge d'examiner si, dans le cas d'espèce, le versement d'une contribution de prise en charge se justifie et à combien elle doit se monter (Message du Conseil fédéral, p. 557). Une contribution de prise en charge ne consiste pas à indemniser un parent pour l'entretien qu'il fournit en nature, mais doit mettre à sa disposition un montant qui permette cette prise en charge personnelle.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431 et 432). Quant à l'ampleur de la prise en charge et à la durée de la contribution relative à celle-ci, le Message (p. 558) se réfère à la jurisprudence établie du Tribunal fédéral selon laquelle la prise en charge d'un ou plusieurs enfant(s) de moins de</w:t>
      </w:r>
    </w:p>
    <w:p>
      <w:r>
        <w:rPr>
          <w:b/>
        </w:rPr>
        <w:t>E. 5.1.5</w:t>
      </w:r>
    </w:p>
    <w:p>
      <w:r>
        <w:t>Le juge doit en principe tenir compte des revenus effectifs des parties, soit en premier lieu le revenu du travail, y compris les bonus, gratifications ou primes versés régulièrement, même non garantis, s'ils ont généralement été versés au cours des années précédentes, lors de la fixation de la contribution d'entretien (BASTONS BULLETTI, L'entretien après le divorce : méthodes de calcul, montant et durée, in SJ 2007 II p. 80, note 18). En cas de revenus fluctuants, pour obtenir un résultat fiable, il convient de tenir compte, en général, du revenu réalisé durant plusieurs années (arrêt du Tribunal fédéral 5A_132/2014 du 20 juin 2014 consid. 3.1.3 et les référence). Plus les fluctuations de revenus sont importantes et les données fournies par l'intéressé sont incertaines, plus la période de comparaison doit être longue (arrêt du Tribunal fédéral 5A_246/2009 du 22 mars 2010 consid. 3.1 et la référence). Selon l'art. 129 al. 1 let. d de la loi fédérale sur l’impôt fédéral direct du</w:t>
      </w:r>
    </w:p>
    <w:p>
      <w:r>
        <w:rPr>
          <w:b/>
        </w:rPr>
        <w:t>E. 5.1.6</w:t>
      </w:r>
    </w:p>
    <w:p>
      <w:r>
        <w:t>Seules les charges effectives, dont le débirentier s'acquitte réellement, doivent être prises en compte (ATF 126 III 89 consid. 3b; 121 III 20 consid. 3a; arrêt du Tribunal fédéral 5A_396/2013 du 26 février 2014 consid 6.2.1).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(ATF 140 III 337 consid. 4.2.3 et les références; arrêts du Tribunal fédéral 5A_589/2017 du 30 novembre 2017 consid. 4.3.1; 5A_511/2010 du 4 février 2011 consid. 2.2.3).</w:t>
      </w:r>
    </w:p>
    <w:p>
      <w:r>
        <w:rPr>
          <w:b/>
        </w:rPr>
        <w:t>E. 5.1.7</w:t>
      </w:r>
    </w:p>
    <w:p>
      <w:r>
        <w:t>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w:t>
      </w:r>
    </w:p>
    <w:p>
      <w:r>
        <w:t>- 11/18 -</w:t>
      </w:r>
    </w:p>
    <w:p>
      <w:r>
        <w:t>C/22769/2016 judiciairement ou de fait, ainsi que les contributions d'entretien obtenues par l'un des parents pour les enfants sur lesquels il a l'autorité parentale (art. 23 let. f LIFD; art. 9 let. f LIPP-IV). Par pension alimentaire imposable chez l'(ex)-conjoint bénéficiaire (et déductible par le débiteur),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(ATA/1089/2016 du 20 décembre 2016 consid. 20b; JAQUES, Impôt fédéral direct, Commentaire romand, 2017, n. 46-47 ad art. 23 LIFD; Circulaire n 30, imposition des époux et de la famille selon la LIFD de l'AFC du 21 décembre 2010). Par contribution à l'entretien d'enfant imposable, on entend les prestations périodiques, à savoir les contributions versées en espèces directement au parent bénéficiaire ainsi que les paiements indirects, soit le règlement, par le parent astreint à verser des contributions d'entretien, de charges telles que les primes d'assurance-maladie et/ou les frais d'écolage de l'enfant (JAQUES, op. cit., n. 38 ad art. 33 LIFD).</w:t>
      </w:r>
    </w:p>
    <w:p>
      <w:r>
        <w:rPr>
          <w:b/>
        </w:rPr>
        <w:t>E. 5.2</w:t>
      </w:r>
    </w:p>
    <w:p>
      <w:r>
        <w:t>En l'espèce, les parties ne remettent pas en cause l'application de la méthode dite du minimum vital avec répartition de l'excédent appliquée par le Tribunal, de sorte que la Cour procèdera de la même manière.</w:t>
      </w:r>
    </w:p>
    <w:p>
      <w:r>
        <w:rPr>
          <w:b/>
        </w:rPr>
        <w:t>E. 5.2.1</w:t>
      </w:r>
    </w:p>
    <w:p>
      <w:r>
        <w:t>L'appelante reproche au Tribunal de n'avoir pas pris en compte dans les revenus de l'intimé les droits de participations perçus par celui-ci. L'intimé soutient qu'il ne perçoit plus des Restricted Stocks Units depuis mars 2015, lesquelles, par ailleurs, ne donnent naissance qu'à une expectative, le déblocage survenant après 3 ans. L'intimé n'a produit aucun document attestant du délai de blocage des droits de participation reçus. Ceux-ci figurent de surcroît sous le chiffre 5 des certificats de salaire produits pour les années 2013 à 2016. Ainsi, conformément à l'art. 129 al. 1 let. d LIFD, il doit être considéré, à tout le moins au stade de la</w:t>
      </w:r>
    </w:p>
    <w:p>
      <w:r>
        <w:t>- 12/18 -</w:t>
      </w:r>
    </w:p>
    <w:p>
      <w:r>
        <w:t>C/22769/2016 vraisemblance, qu'ils ont été effectivement perçus par l'intimé. L'attestation selon laquelle l'intimé ne perçoit plus de droits de participation depuis mars 2015 est en contradiction avec le certificat de salaire 2016 qui mentionne, sous chiffre 5, de tels droits, à concurrence de 53'680 fr., de sorte qu'il n'en sera pas tenu compte à ce stade. Compte tenu de ce qui précède, la moyenne des droits de participation reçus par l'intimé pour les années 2013 à 2016 sera prise en compte au titre de revenus, soit 37'089 fr. par an, correspondant à 3'100 fr. (arrondis) par mois. Ce montant viendra s'ajouter au revenu mensuel net de l'intimé, tel qu'il ressort des fiches de salaire nouvellement produites pour l'année 2018. Il conviendra encore d'ajouter le bonus perçu, soit la moyenne de ceux perçus lors des années précédentes. Afin d'obtenir un résultat fiable, la moyenne s'établira en retranchant les montants le plus bas et le plus élevé des années 2013 à 2017. Par conséquent, le revenu mensuel moyen issu des bonus des années 2013, 2014 et 2017, s'élève à 3'100 fr. (arrondis). Partant, le revenu mensuel net de l'intimé pour l'année 2018 est composé de son salaire versé 13 fois dans l'année soit 16'200 fr. par mois, et de la moyenne des revenus issus de ses droits de participation et des bonus, soit 6'200 fr. (2 x 3'100 fr.) au total. L'intimé dispose donc d'un revenu mensuel net de 22'400 fr. Le jugement sera modifié sur ce point.</w:t>
      </w:r>
    </w:p>
    <w:p>
      <w:r>
        <w:rPr>
          <w:b/>
        </w:rPr>
        <w:t>E. 5.2.2</w:t>
      </w:r>
    </w:p>
    <w:p>
      <w:r>
        <w:t>L'appelante fait valoir que le loyer de 4'000 fr. retenu par le premier juge n'est qu'une charge créée de toute pièce par l'intimé et qu'il faudrait lui substituer le montant des intérêts du logement familial. Aucun élément du dossier ne contredit la réalité de cette charge. Par ailleurs, le logement doit comporter suffisamment de pièces afin que l'intimé puisse accueillir ses enfants dans de bonnes conditions. Il est également relevé que l'intimé bénéficiant d'un large droit de visite sur les enfants, la location d'un logement proche du domicile conjugal se justifie. Ce dernier étant localisé sur la commune de ______ (GE), dont les loyers sont notoirement élevés, comme dans les communes limitrophes, il doit être admis. La charge de loyer retenue par le premier juge sera donc confirmée.</w:t>
      </w:r>
    </w:p>
    <w:p>
      <w:r>
        <w:rPr>
          <w:b/>
        </w:rPr>
        <w:t>E. 5.2.3</w:t>
      </w:r>
    </w:p>
    <w:p>
      <w:r>
        <w:t>L'appelante reproche au Tribunal d'avoir comptabilisé dans les charges de l'intimé, ses impôts. La famille dispose d'une situation financière favorable, de sorte qu'il se justifie de prendre en compte dans les charges des parties, les impôts.</w:t>
      </w:r>
    </w:p>
    <w:p>
      <w:r>
        <w:t>- 13/18 -</w:t>
      </w:r>
    </w:p>
    <w:p>
      <w:r>
        <w:t>C/22769/2016 Le montant des impôts de chaque partie dépendra du montant des contributions d'entretien retenu dans le présent arrêt, de sorte qu'il ne sera donc pas tenu compte des diverses pièces produites par l'intimé pour établir sa charge fiscale, celles-ci ne tenant pas compte desdits montants. Le montant des impôts de l'intimé estimé au moyen de la calculette disponible sur le site de l'Administration fiscale (sur la base d'un revenu annuel de 268'800 fr. net dont il faut soustraire 135'600 fr. de contributions d'entretien annuelles pour ses enfants et son épouse [4'250 fr. + 4'250 fr. + 2'800 fr., multipliés par 12]) s'élève à 3'200 fr. par mois. Le solde mensuel net de l'intimé s'élève ainsi à 13'940 fr. (22'400 fr. – 3'200 fr. – 1'200 fr. – 4'000 fr. – 70 fr.). L'épouse a repris en mars 2017 une activité lucrative au taux de 15%. Elle perçoit un salaire mensuel net de 600 fr. Ses charges incompressibles sont de 3'647 fr. auquel il convient d'ajouter ses impôts estimés à 2'300 fr. par mois pour elle et ses enfants (estimation au moyen de la calculette disponible sur le site de l'Administration fiscale sur la base d'un revenu annuel de 7'200 fr. net auquel il faut ajouter 135'600 fr. de contributions d'entretien annuelles pour elle et ses enfants ainsi que 7'200 fr. d'allocations familiales). Partant, le déficit mensuel arrondi de l'appelante s'élève à 5'350 fr. (3'647 fr. + 2'300 fr. – 600 fr. ). Il ne sera pas exigé d'elle de reprendre une activité à 50% et aucun revenu hypothétique ne lui sera imputé, faute d'appel sur ce point. Les charges incompressibles des enfants C______ et D______ se montent respectivement à 1'044 fr. et 1'174 fr., soit 744 fr. et 874 fr. après déduction des allocations familiales (300 fr. par enfant). Compte tenu de la situation financière de l'intimé, du mode de répartition des tâches convenues entre les parties durant la vie commune et du fait que l'appelante, qui a la garde exclusive des enfants, pourvoit essentiellement en nature à ses obligations d'entretien envers ces derniers, il incombe à l'intimé d'assumer financièrement, sur mesures protectrices de l'union conjugale, les besoins de ses enfants. Le Tribunal ayant condamné l'intimé à verser au titre de l'entretien convenable 1'250 fr. par enfant sans que ce montant ne soit remis en cause en en appel, il sera repris. L'appelante ne critique pas la proportion, conforme à l'intérêt des enfants et à la doctrine précitée, de 60% de son minimum vital élargi, pour déterminer le montant de la contribution de prise en charge, de sorte que la Cour retiendra</w:t>
      </w:r>
    </w:p>
    <w:p>
      <w:r>
        <w:t>- 14/18 -</w:t>
      </w:r>
    </w:p>
    <w:p>
      <w:r>
        <w:t>C/22769/2016 également ce taux, ce qui donne 60% de 5'350 fr. /2, soit, soit 1'600 fr. par enfant (arrondis). L'entretien de chacun des enfants comprend, ainsi, les frais liés à leurs besoins effectifs (1'250 fr. par enfant), la contribution de prise en charge représentée par 60% du déficit de la mère réparti à raison d'une moitié pour chacun d'eux. L'excédent doit encore être réparti entre les parties. Après paiement de ses charges admissibles et déduction des montants affectés à l'entretien des enfants, l'intimé dispose d'un montant disponible de l'ordre de 8'230 fr. (22'400 fr. – 8'470 fr. [charges admissibles, impôts compris] – 2'850 fr. [pour C______] – 2'850 fr. [pour D______]). Le montant disponible sera réparti à raison de 1/3 (2'800 fr.) en faveur de la mère, de 1/6 (1'400 fr.) en faveur de chacun des enfants et de 1/3 en faveur du père. Au vu de ce qui précède, les chiffres 5 et 7 du dispositif du jugement entrepris seront modifiés en ce sens que l'intimé sera condamné à contribuer à l'entretien des enfants D______ et C______ à hauteur de 4'250 fr. par mois et par enfant, contribution de prise en charge comprise. Il devra en outre s'acquitter d'une contribution d'entretien de 2'800 fr. par mois en faveur de son épouse. Dans la mesure où l'aîné atteindra l'âge de 16 ans en 2020 et la cadette en 2022, il ne sera pas statué sur les contributions dues dès ces dates, les mesures protectrices de l'union conjugale étant par essence limitées dans le temps. 6. L'appelante critique le point de départ des contributions d'entretien litigieuses, fixé par le premier juge au 1er mars 2017. Selon elle, "au vu des circonstances du cas d'espèce, des situations financières des parties et au vu de la date du dépôt de la requête introductive d'instance", il se justifie de fixer le dies a quo au 1er novembre 2016, date de la séparation effective des parties. 6.1.1 Conformément à l'art. 311 al. 1 CPC, il incombe à l'appelant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4A_659/2011 consid. 3, in SJ 2012 I p. 231). 6.1.2 L'appelant est tenu de formuler l'intégralité de ses critiques à l'encontre du jugement attaqué dans le cadre du délai d'appel. Un éventuel deuxième échange d'écritures de même que l'exercice du droit de réplique ne sauraient lui permettre de rattraper ses omissions en complétant son argumentaire ou en soulevant de</w:t>
      </w:r>
    </w:p>
    <w:p>
      <w:r>
        <w:t>- 15/18 -</w:t>
      </w:r>
    </w:p>
    <w:p>
      <w:r>
        <w:t>C/22769/2016 nouveaux griefs. Ce n'est que dans la mesure où les objections formulées par l’intimé dans sa réponse l’imposent que l'appelant peut apporter des compléments à son acte d'appel (ATF 142 III 413 consid. 2.2.4; arrêt du Tribunal fédéral 4A_380/2014 du 6 octobre 2014 consid. 3.2.2, publié in CPC Online, 22 novembre 2017). En d'autres termes, le droit de réplique ne saurait permettre à l'appelant d'apporter des éléments qui auraient pu l'être pendant le délai légal (ATF 132 I 42 consid. 3.3.4, in JdT 2008 I 110). 6.1.3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ATF 115 II 201 consid. 4a; arrêt du Tribunal fédéral 5A_807/2012 du 6 février 2013 consid 5.4.4.3). L'effet rétroactif ne se justifie que si l'entretien dû n'a pas été assumé en nature ou en espèces ou dès qu'il a cessé de l'être (arrêts du Tribunal fédéral 5A_591/2011 du 7 décembre 2011 consid. 5.2; 5A_909/2010 du 4 avril 2011 consid. 6.2). La contribution d'entretien due doit se fonder sur la situation financière effective des parties à l'époque; partant, le juge ne saurait sans arbitraire tenir compte, pour une période donnée antérieure à sa décision, de charges ou de revenus qui ne correspondent pas à cette situation (arrêts du Tribunal fédéral 5P.376/2004 du 7 janvier 2005 consid. 2.2 et 5P.29/1991 du 17 mai 1991 consid. 5c). 6.2.1 En l'espèce, le grief est irrecevable, car non motivé. L'appelante manifeste en termes généraux son désaccord avec la décision contestée. Elle n'expose aucunement en quoi l'entretien en nature ou en espèces n'a pas été assumé avant le 1er mars 2017. En outre, les développements de la réplique ne valent pas motivation, car tardifs. 6.2.2 Au surplus, jusqu'au 1er mars 2017, les parties ont réglé les frais d'entretien de la famille avec les comptes communs, ce qu'admet au demeurant l'appelante dans sa réplique. Le premier juge a, à juste titre, fixé le dies a quo des contributions d'entretien au 1er mars 2017. Au vu de ces considérations, la décision du premier juge de fixer le point de départ des contributions d'entretien au 1er mars 2017 sera confirmée. 7. Lorsque l'autorité d'appel statue à nouveau, elle se prononce sur les frais de première instance (art. 318 al. 3 CPC). A défaut de grief motivé et au vu de l'issue du litige, les frais judiciaires de première instance, non contestés par les parties et conformes aux dispositions légales applicables en la matière (art. 107 al. 1 let. c CPC; art. 5, 31 et 37 RTFMC), seront confirmés tant dans leur quotité que dans leur répartition.</w:t>
      </w:r>
    </w:p>
    <w:p>
      <w:r>
        <w:t>- 16/18 -</w:t>
      </w:r>
    </w:p>
    <w:p>
      <w:r>
        <w:t>C/22769/2016 Les frais d'appel seront arrêtés à 1'250 fr. (art. 31 et 37 RTFMC), compensés avec l'avance de frais du même montant versée par l'appelante et mis à la charge des parties pour moitié chacune, compte tenu de la nature familiale et de l'issue du litige (art. 95 et 107 al. 1 let. c CPC). En conséquence, l'intimé sera condamnée à verser 625 fr. à l'appelante à titre de frais judiciaires (art. 111 al. 2 CPC). Pour les mêmes motifs, chaque partie supportera ses propres dépens (art. 107 al. 1 let c. CPC). * * * * *</w:t>
      </w:r>
    </w:p>
    <w:p>
      <w:r>
        <w:t>- 17/18 -</w:t>
      </w:r>
    </w:p>
    <w:p>
      <w:r>
        <w:t>C/22769/2016 PAR CES MOTIFS, La Chambre civile : A la forme : Déclare recevable l'appel interjeté le 19 février 2018 par A______ contre le jugement JTPI/1804/2018 rendu le 1er février 2018 par le Tribunal de première instance dans la cause C/22769/2016-18. Au fond : Annule les chiffres 5 et 7 du dispositif de ce jugement et, statuant à nouveau sur ces points : Condamne B______ à verser en mains de A______, à titre de contribution à l'entretien de l'enfant C______, allocations familiales ou d'études non comprises, par mois et d'avance, la somme de 4'250 fr. dès le 1er mars 2017. Condamne B______ à verser en mains de A______, à titre de contribution à l'entretien de l'enfant D______, allocations familiales ou d'études non comprises, par mois et d'avance, la somme de 4'250 fr. dès le 1er mars 2017. Condamne B______ à verser en mains de A______, à titre de contribution à son entretien, par mois et d'avance, la somme de 2'800 fr. dès le 1er mars 2017. Dit que devront être déduits des contributions fixées supra les montants déjà effectivement payés depuis le 1er mars 2017 par B______. Confirme le jugement entrepris pour le surplus. Déboute les parties de toutes autres conclusions. Sur les frais : Arrête les frais judiciaires d'appel à 1'250 fr. et les met à la charge des parties pour moitié chacune. Dit qu'ils sont compensés avec l'avance de frais de même montant fournie par A______, qui demeure acquise à l'Etat de Genève.</w:t>
      </w:r>
    </w:p>
    <w:p>
      <w:r>
        <w:t>- 18/18 -</w:t>
      </w:r>
    </w:p>
    <w:p>
      <w:r>
        <w:t>C/22769/2016 Condamne B______ à verser à A______ la somme de 625 fr. à titre de remboursement des frais judiciaires.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r>
        <w:rPr>
          <w:b/>
        </w:rPr>
        <w:t>E. 10</w:t>
      </w:r>
    </w:p>
    <w:p>
      <w:r>
        <w:t>ans représente une charge à plein temps et une charge à mi-temps lorsque l'enfant est âgé entre 10 et 15 ans, alors que le parent gardien peut reprendre une activité à 100% dès les 16 ans de l'enfant (ATF 137 III précité consid. 4.2.2).</w:t>
      </w:r>
    </w:p>
    <w:p>
      <w:r>
        <w:t>- 10/18 -</w:t>
      </w:r>
    </w:p>
    <w:p>
      <w:r>
        <w:t>C/22769/2016</w:t>
      </w:r>
    </w:p>
    <w:p>
      <w:r>
        <w:rPr>
          <w:b/>
        </w:rPr>
        <w:t>E. 14</w:t>
      </w:r>
    </w:p>
    <w:p>
      <w:r>
        <w:t>décembre 1990 (LIFD - RS 642.11), l'employeur accordant des droits de participation doit produire une attestation à l'autorité de taxation sur toutes les données nécessaires à leur taxation. Un double est remis à l'employé (art. 129 al. 2 LIFD). En outre, si la participation du collaborateur consiste en des droits en cours de formation, l'employeur ne doit pas les déclarer sous le chiffre 5 du certificat de salaire. Il inscrira le montant de l'avantage appréciable en argent issu de ces droits sous le chiffre 5 au moment de leur éventuelle réalisation (art. 5 al. 2 let. b ch. 7 de l'Ordonnance sur l'obligation de délivrer des attestations pour les participations de collaborateur, du 27 juin 2012 [OPart; RS 642.115.325.1]; Guide d'établissement du certificat de salaire et de l'attestation de rentes, formulaire 11, Administration fédérale des contributions, 2016, p.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