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ACJC/1038/2017 vom 7. April 2017</w:t>
      </w:r>
    </w:p>
    <w:p>
      <w:r>
        <w:t>GE Cour de justice, 2017-04-07, FR</w:t>
      </w:r>
    </w:p>
    <w:p>
      <w:r>
        <w:rPr>
          <w:b/>
        </w:rPr>
        <w:t xml:space="preserve">Quelle: </w:t>
      </w:r>
      <w:r>
        <w:t>https://mcp.opencaselaw.ch/entscheid/ge_gerichte_ACJC_1038_2017</w:t>
      </w:r>
    </w:p>
    <w:p>
      <w:r>
        <w:t>FR: GE_GERICHTE ACJC/1038/2017 du 7 avril 2017</w:t>
      </w:r>
    </w:p>
    <w:p>
      <w:r>
        <w:t>IT: GE_GERICHTE ACJC/1038/2017 del 7 aprile 2017</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 En l'espèce, les parties ont pris des conclusions divergentes tant sur la question de l'attribution de la garde de l'enfant qu'en ce qui concerne les contributions d'entretien. Dès lors, par attraction, l'ensemble du litige est de nature non pécuniaire (arrêts du Tribunal fédéral 5A_765/2012 du 19 février 2013</w:t>
      </w:r>
    </w:p>
    <w:p>
      <w:r>
        <w:t>- 7/13 -</w:t>
      </w:r>
    </w:p>
    <w:p>
      <w:r>
        <w:t>C/7124/2016 consid. 1.1; 5A_697/2009 du 4 mars 2010 consid. 1.1), de sorte que la voie de l'appel est ouverte. L'appel a été interjeté dans le délai et selon les formes prévues par la loi (art. 248 let. d, 311 et et 314 al. 1 CPC), de sorte qu'il est recevable.</w:t>
      </w:r>
    </w:p>
    <w:p>
      <w:r>
        <w:rPr>
          <w:b/>
        </w:rPr>
        <w:t>E. 1.2</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w:t>
      </w:r>
    </w:p>
    <w:p>
      <w:r>
        <w:rPr>
          <w:b/>
        </w:rPr>
        <w:t>E. 1.3</w:t>
      </w:r>
    </w:p>
    <w:p>
      <w:r>
        <w:t>La Cour revoit la cause avec un plein pouvoir d’examen (art. 310 CPC). Dans la mesure des conclusions prises en appel (art. 315 al. 1 CPC), elle établit les faits d'office (art. 272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2</w:t>
      </w:r>
    </w:p>
    <w:p>
      <w:r>
        <w:t>L'appelant a produit une pièce nouvelle en appel, soit un extrait de "Google maps" de ______ à C______, daté du 20 avril 2017, mais précisant que l'image datait de novembre 2014 (pièce 2). L'intimée a également produit des pièces nouvelles, soit un extrait de "Google maps" (pièce 44), un formulaire d'inscription de D______ à l'école primaire de C______ (pièce 45) et un courriel adressé par l'école de C______ à F______ le 19 mai 2017 (pièce 46).</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(ACJC/407/2015 du 10 avril 2015 consid. 2; dans le même sens : TREZZINI, in Commentario al Codice di diritto processuale civile svizzero (CPC), 2011, p. 1394; TAPPY, Les voies de droit du nouveau Code de procédure civile, in JdT 2010 III p. 115 ss et p. 139).</w:t>
      </w:r>
    </w:p>
    <w:p>
      <w:r>
        <w:rPr>
          <w:b/>
        </w:rPr>
        <w:t>E. 2.2</w:t>
      </w:r>
    </w:p>
    <w:p>
      <w:r>
        <w:t>Les pièces nouvelles produites par les parties sont recevables, dans la mesure où elles concernent l'enfant mineur des parties ou sont postérieures au 27 mars 2017, date à laquelle le Tribunal a gardé la cause à juger.</w:t>
      </w:r>
    </w:p>
    <w:p>
      <w:r>
        <w:t>- 8/13 -</w:t>
      </w:r>
    </w:p>
    <w:p>
      <w:r>
        <w:t>C/7124/2016</w:t>
      </w:r>
    </w:p>
    <w:p>
      <w:r>
        <w:rPr>
          <w:b/>
        </w:rPr>
        <w:t>E. 3</w:t>
      </w:r>
    </w:p>
    <w:p>
      <w:r>
        <w:t>Le Tribunal a retenu que l'appelant exerçait sur D______ un droit de visite d'un week-end sur deux du vendredi à la sortie de la crèche au lundi matin ainsi que pendant la moitié des vacances scolaires. Le déménagement prévu par l'intimée à ______ avait des conséquences importantes sur le droit de visite de sorte qu'il était soumis à autorisation du Tribunal. Le déménagement devait être autorisé dans la mesure où la mère avait exercé la prise en charge au quotidien de l'enfant depuis la séparation des époux en mars 2014 et que l'enfant se développait bien tant sur le plan de la santé que sur le plan scolaire. Aucun élément du dossier ne permettait de remettre en cause les capacités éducatives de la mère. D______, âgé de 5 ans et demi, avait les capacités d'apprendre l'allemand et de s'adapter sur le plan scolaire. Un déménagement au 1er juillet 2017 permettait à l'enfant de terminer son année à Genève. Il rejoindrait alors avec sa sœur et sa mère le compagnon de celle-ci qu'il connaissait déjà. Enfin, en dépit de l'éloignement géographique, il était possible de mettre en place un droit de visite permettant le maintien de relations régulières entre le père et l'enfant.</w:t>
      </w:r>
    </w:p>
    <w:p>
      <w:r>
        <w:t>L'appelant conteste l'autorisation de déménager accordée par le Tribunal et le maintien de la garde de l'enfant à la mère. Il fait grief au Tribunal d'avoir "ignoré l'avis de D______" et de n'avoir pas tenu compte des recommandations du SPMi. Le projet de déménagement de l'intimée n'était pas sérieux, voire irresponsable, et aboutissait à éloigner l'enfant du parent représentant plus lui le plus de stabilité. Le domicile à C______ indiqué par l'appelante n'était pas un lieu d'habitation mais "une chapelle", l'enfant n'avait pas été annoncé à l'école sans motif sérieux, le "compagnon de week-end" n'était pas impliqué et n'avait fourni aucune aide, la mère, qui n'avait pas de formation et ne parlait pas l'allemand s'exposait au dénuement en Argovie et le déménagement aurait pour conséquence "de mettre hors-jeu pour défaut de compétence territoriale tant la curatelle genevoise de surveillance que le SPMi".</w:t>
      </w:r>
    </w:p>
    <w:p>
      <w:r>
        <w:t>3.1.1 Dans le cadre d'une procédure de divorce, le tribunal ordonne les mesures provisionnelles nécessaires, étant précisé que les dispositions régissant la protection de l'union conjugale sont applicables par analogie (art. 276 al. 1 CPC).</w:t>
      </w:r>
    </w:p>
    <w:p>
      <w:r>
        <w:t>Lorsque les époux ont un enfant mineur, le juge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L'autorité parentale sert le bien de l'enfant (art. 296 al. 1 CC). L'enfant est soumis, pendant sa minorité, à l'autorité parentale conjointe de ses père et mère (al. 2). Selon l'art. 301a al. 2 CC, un parent exerçant conjointement l'autorité parentale ne peut modifier le lieu de résidence de l'enfant qu'avec l'accord de l'autre parent ou</w:t>
      </w:r>
    </w:p>
    <w:p>
      <w:r>
        <w:t>- 9/13 -</w:t>
      </w:r>
    </w:p>
    <w:p>
      <w:r>
        <w:t>C/7124/2016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Quand le consentement d'un parent est sollicité et qu'il le refuse, son opposition sera privée de tout effet si l'autorité accepte le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Le juge du divorce - et l'autorité de protection de l'enfant - peuvent ainsi décider du lieu où vivra l'enfant même dans l'hypothèse d'un déménagement à venir (arrêt du Tribunal fédéral 5A_985/2014 du 25 juin 2015, consid. 3.2.1). Les critères dégagés par la jurisprudence concernant notamment l'attribution de la garde demeurent applicables, mutatis mutandis, au nouveau droit. La règle fondamentale pour attribuer la garde est le bien de l'enfant, les intérêts des parents devant être relégués au second plan. Au nombre des critères essentiels entrent en ligne de compte les capacités éducatives respectives des parents, les relations personnelles entre parents et enfants, l'aptitude de chaque parent à prendre soin personnellement de l'enfant,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soins des parents sont similaires (arrêt du Tribunal fédéral 5A_379/2016 du 1er décembre 2016, consid. 3.1). Dans le cadre de l'application de l'art. 301 a CC, si le parent désireux de déménager était jusqu'alors celui avec qui était établie la relation exclusive ou principale, ce qui est le cas notamment dans le modèle classique des relations personnelles, on considérera qu'il est généralement conforme au bien de l'enfant de rester avec ce parent et de déménager avec lui, sauf circonstances particulières (ATF 142 III 481 consid. 2.7, JdT 2016 II 427).</w:t>
      </w:r>
    </w:p>
    <w:p>
      <w:r>
        <w:t>- 10/13 -</w:t>
      </w:r>
    </w:p>
    <w:p>
      <w:r>
        <w:t>C/7124/2016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(ATF 142 III 481 consid. 2.7, JdT 2016 II 427). Il faut examiner tous les aspects de la situation concrète, par exemple le fait que l'enfant soit scolarisé dans une langue étrangère ou que le parent rejoigne un nouveau partenaire dans un milieu économique et social sûr. Si l'enfant est plus grand, on retiendra aussi comme déterminants les souhaits et les avis qu'il exprimera lors de son audition, pour autant que cela soit conciliable avec la réalité (possibilités concrètes des prise en charge et d'accueil de la part du parent concerné) (ATF 142 III 481 consid. 2.7, JdT 2016 II 427). 3.1.2 Selon l'art. 298 al. 1 CPC, les enfants sont entendus personnellement et de manière appropriée par le tribunal ou un tiers nommé à cet effet, pour autant que leur âge ou d’autres justes motifs ne s’y opposent pas. L'audition ne présuppose pas que l'enfant ait la capacité de discernement au sens de l'art. 16 CC. Selon la ligne directrice suivie par le Tribunal fédéral, l'audition d'un enfant est possible dès qu'il a six ans révolus.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(ATF 131 III 553 consid. 1.1; arrêt du Tribunal fédéral 5A_119/2010 du 12 mars 2010 consid. 2.1). Avant l'âge de la capacité de discernement, l'audition de l'enfant vise avant tout à permettre au juge de se faire une idée personnelle et de disposer d'une source de renseignements supplémentaires pour établir l'état de fait et prendre sa décision; dans un tel contexte, son audition doit avoir été requise par la partie qui entend s'en prévaloir, dès lors qu'elle ne sert qu'à l'établissement des faits et, partant, qu'elle nécessite d'avoir fait l'objet d'une réquisition de preuve (arrêt du Tribunal fédéral 5A_53/2017 du 23 mars 2017 consid. 4.1; 5A_754/2013 du 4 février 2014 consid. 3).</w:t>
      </w:r>
    </w:p>
    <w:p>
      <w:r>
        <w:rPr>
          <w:b/>
        </w:rPr>
        <w:t>E. 3.2</w:t>
      </w:r>
    </w:p>
    <w:p>
      <w:r>
        <w:t>En l'espèce, l'appelant relève en p. 6 de son appel qu'il résulte de "l'audition de D______, qui est âgé de 6 ans et ______ mois, que l'enfant souhaite que sa garde soit confiée à son père". Contrairement à ce qu'affirme l'appelant, D______, né le ______ 2011, était âgé de moins de six ans au moment du prononcé du jugement querellé et n'a été entendu ni par le SPMi, ni par le Tribunal.</w:t>
      </w:r>
    </w:p>
    <w:p>
      <w:r>
        <w:t>- 11/13 -</w:t>
      </w:r>
    </w:p>
    <w:p>
      <w:r>
        <w:t>C/7124/2016 L'appelant n'a requis l'audition de l'enfant ni devant la Cour, ni devant le Tribunal. Même s'il l'avait fait, une telle audition n'aurait pas été justifiée au regard de la jurisprudence, compte tenu du jeune âge de D______. Le Tribunal n'a ainsi pas "ignoré" l'avis de D______, contrairement à ce qu'allègue l'appelant. L'appelant reproche en outre au Tribunal de s'être écarté des recommandations du SPMi. A cet égard, il convient de souligner que la situation a évolué depuis la rédaction du rapport de ce service. Les incertitudes du projet de l'intimée, relevées par le SPMi, ont entre-temps été levées : l'enfant n'a pas interrompu son année scolaire, il est maintenant inscrit à C______, une prise de contact entre D______, sa maîtresse et ses futurs camarades a eu lieu et des cours d'allemand sont prévus pour l'enfant dès août 2017. L'apprentissage de cette langue ne devrait pas poser de problèmes importants à l'enfant, dans la mesure où il est notoire que les jeunes enfants apprennent rapidement la langue de leur environnement scolaire et social. Sur ce point, D______ pourra en outre compter sur l'aide du compagnon de sa mère, qui maîtrise l'allemand. Compte tenu de ces éléments, il n'est pas rendu vraisemblable que le déménagement de D______ provoquera du retard scolaire chez celui-ci. La réalité des craintes de l'appelant concernant le logement de l'intimée et de D______ à C______ n'est pas non plus rendue vraisemblable. Aucun document versé à la procédure ne permet de retenir que l'adresse fournie par l'intimée et figurant sur les documents d'inscription de D______ à l'école de ______ ne correspond pas à un logement, étant précisé que la photo produite par l'appelant a été prise en 2014 et que, selon l'intimée, elle n'atteste pas de l'état des constructions actuelles à cet endroit. Le logement en question comporte en outre, d'après les indications fournies par l'intimée, un nombre suffisant de chambres pour accueillir confortablement D______ et sa sœur. Le compagnon de l'intimée a de plus un emploi auprès de ______ (ce qui est confirmé par la pièce 46 intimée) et rien ne permet de penser que les conditions de vie de D______ seraient plus précaires à C______ qu'à Genève, étant rappelé que l'intimée, qui n'a aucun revenu, est actuellement logée par l'Hospice général dans une résidence hôtelière qui ne comporte qu'une chambre à coucher. C'est le lieu de relever que l'appartement de l'appelant à Genève ne comporte lui aussi qu'une seule chambre à coucher, de sorte que, lorsqu'il est avec son père, D______ partage sa chambre avec celui-ci.</w:t>
      </w:r>
    </w:p>
    <w:p>
      <w:r>
        <w:t>- 12/13 -</w:t>
      </w:r>
    </w:p>
    <w:p>
      <w:r>
        <w:t>C/7124/2016 Les relations entre l'appelant et l'enfant pourront quant à elles être maintenues de manière suivie, dans la mesure où le droit de visite d'un week-end sur deux et de la moitié des vacances scolaires en vigueur depuis la séparation des parties peut être conservé, moyennant des adaptations au niveau des horaires. En effet, le temps de trajet entre C______ et Genève, qui est de 2h30 au maximum, permet la poursuite de contacts réguliers entre le père et l'enfant pendant les week-ends. A cela s'ajoute le fait que D______, qui a moins de six ans, ne s'est pas encore créé à Genève un cercle amical et social dont l'importance serait prépondérante par rapport aux liens qu'il a avec sa mère. Il convient également d'éviter de le séparer de sa petite sœur. La perte de compétence des autorités genevoises de protection de l'enfance qu'implique le déplacement du domicile de l'enfant n'est pas déterminante puisque les autorités de protection argovienne pourront, au besoin, intervenir pour prendre des mesures dans l'hypothèse où cela s'avérait nécessaire. Au vu des éléments qui précède, il n'y a pas de raison de déroger in casu au principe selon lequel le déménagement de l'enfant avec le parent qui s'occupait jusque-là de lui de manière prépondérante doit, si aucune raison particulière ne s'y oppose, être autorisé. Par ailleurs l'appelant ne formule aucune critique contre le droit de visite instauré par le Tribunal ni contre les autres points du dispositif du jugement querellé. Ce dernier sera par conséquent entièrement confirmé.</w:t>
      </w:r>
    </w:p>
    <w:p>
      <w:r>
        <w:rPr>
          <w:b/>
        </w:rPr>
        <w:t>E. 4</w:t>
      </w:r>
    </w:p>
    <w:p>
      <w:r>
        <w:t>L'appelant, qui succombe, doit être condamné aux frais de l'appel (art. 106 al. 1 CPC).</w:t>
      </w:r>
    </w:p>
    <w:p>
      <w:r>
        <w:t>Les frais judiciaires seront arrêtés à 800 fr. (art. 31 et 35 RTFMC). Dans la mesure où l'appelant bénéficie de l'assistance judiciaire, ils seront provisoirement supportés par l'Etat de Genève qui pourra en réclamer le remboursement ultérieurement (art. 122 et 123 CPC).</w:t>
      </w:r>
    </w:p>
    <w:p>
      <w:r>
        <w:t>Il n'y a pas lieu d'allouer de dépens compte tenu de la nature familiale du litige (art. 107 let. c CPC). * * * * * *</w:t>
      </w:r>
    </w:p>
    <w:p>
      <w:r>
        <w:t>- 13/13 -</w:t>
      </w:r>
    </w:p>
    <w:p>
      <w:r>
        <w:t>C/7124/2016 PAR CES MOTIFS, La Chambre civile : A la forme : Déclare recevable l'appel interjeté par A______ contre l'ordonnance OTPI/170/2017 rendue le 7 avril 2017 par le Tribunal de première instance dans la cause C/7124/2016-</w:t>
      </w:r>
    </w:p>
    <w:p>
      <w:r>
        <w:rPr>
          <w:b/>
        </w:rPr>
        <w:t>E. 5</w:t>
      </w:r>
    </w:p>
    <w:p>
      <w:r>
        <w:t>Au fond : Confirme l'ordonnance querellée. Déboute les parties de toutes autres conclusions. Sur les frais : Arrêt à 800 fr. les frais judiciaires d'appel, les met à la charge de A______ et dit qu'ils sont provisoirement supportés par l'Etat de Genève. Dit qu'il n'est pas alloué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