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ACJC/1037/2012 vom 17. Juli 2012</w:t>
      </w:r>
    </w:p>
    <w:p>
      <w:r>
        <w:t>GE Cour de justice, 2012-07-17, FR</w:t>
      </w:r>
    </w:p>
    <w:p>
      <w:r>
        <w:rPr>
          <w:b/>
        </w:rPr>
        <w:t xml:space="preserve">Quelle: </w:t>
      </w:r>
      <w:r>
        <w:t>https://mcp.opencaselaw.ch/entscheid/ge_gerichte_ACJC_1037_2012</w:t>
      </w:r>
    </w:p>
    <w:p>
      <w:r>
        <w:t>FR: GE_GERICHTE ACJC/1037/2012 du 17 juillet 2012</w:t>
      </w:r>
    </w:p>
    <w:p>
      <w:r>
        <w:t>IT: GE_GERICHTE ACJC/1037/2012 del 17 luglio 2012</w:t>
      </w:r>
    </w:p>
    <w:p>
      <w:pPr>
        <w:pStyle w:val="Heading2"/>
      </w:pPr>
      <w:r>
        <w:t>Regeste</w:t>
      </w:r>
    </w:p>
    <w:p>
      <w:r>
        <w:t>Résumé: 1. L'action fondée sur l'art. 665 al. 1 CC présuppose la conclusion du contrat principal ou le jugement qui en tient lieu , car l'attribution par le juge peut suppléer à l'autorisation de l'inscription, mais non à la cause de l'acquisition de la propriété consid. 3) 2. La promesse de vente doit être traitée, en principe, à l'égal d'une vente lorsque cette dernière doit être conclue à des conditions identiques à celles stipulées dans la promesse. En cas d'inexécution d'une promesse dont tous les points sont déterminés à rigueur de droit, le créancier pourra agir en exécution contre le débiteur sans avoir à passer par le stade de la conclusion du contrat promis (consid. 3.1.1). 3. L'acte authentique doit énoncer toutes les contre-prestations promises en échange du bien immobilier et le prix indiqué doit correspondre à celui réellement convenu; à défaut, l'acte est nul parce que simulé (consid. 3.1.2). 4. Un avis de résiliation au sens de l'art. 214 al. 2 CO, communiqué à l'acheteur 7 jours après le terme fixé pour le paiement de la majeure partie du prix de vente et le transfert de propriété au registre foncier, est effectué en temps utile. Le vendeur peut également, par "déclaration immédiate" au sens de l'art. 107 al. 2 CO, se départir du contrat en vertu de l'art. 108 ch. 3 CO suivant lequel la fixation d'un délai n'est pas nécessaire lorsqu'aux termes du contrat, l'exécution doit avoir lieu exactement à un terme fixé ou dans un délai déterminé (consid. 3.1.3).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w:t>
      </w:r>
    </w:p>
    <w:p>
      <w:r>
        <w:t>L'appel a été interjeté dans le délai de trente jours et suivant la forme prescrite par la loi (art. 130, 131, 308 al. 1 let. a et 311 al. 1 CPC). Il est ainsi recevable.</w:t>
      </w:r>
    </w:p>
    <w:p>
      <w:r>
        <w:t>- 14/24 -</w:t>
      </w:r>
    </w:p>
    <w:p>
      <w:r>
        <w:t>C/8300/2010 Les conclusions de première instance portent sur une valeur litigieuse supérieure à 10'000 fr. en capital (art. 91 al. 1 CPC), de sorte que la Cour de céans connaît de la présente cause avec un plein pouvoir d'examen (art. 310 CPC).</w:t>
      </w:r>
    </w:p>
    <w:p>
      <w:r>
        <w:rPr>
          <w:b/>
        </w:rPr>
        <w:t>E. 3</w:t>
      </w:r>
    </w:p>
    <w:p>
      <w:r>
        <w:t>Les appelants font en premier lieu grief au Tribunal d'avoir retenu que la promesse de vente et d'achat signée par les parties les 2 et 18 septembre 2008 devait être interprétée comme un contrat de vente soumis à une condition suspensive. Selon eux, il s'agit plutôt d'un contrat de vente définitif, qui n'est assorti d'aucune condition suspensive et est donc susceptible d'être invoqué comme cause de l'acquisition de la part de copropriété litigieuse, indépendamment du droit d'emption qu'il prévoit.</w:t>
      </w:r>
    </w:p>
    <w:p>
      <w:r>
        <w:rPr>
          <w:b/>
        </w:rPr>
        <w:t>E. 3.1</w:t>
      </w:r>
    </w:p>
    <w:p>
      <w:r>
        <w:t>Celui qui est au bénéfice d'un titre d'acquisition peut exiger que le propriétaire fasse opérer l'inscription; en cas de refus, il peut demander au juge l'attribution du droit de propriété (art. 665 al. 1 CC). Le jugement prononcé à la suite d'une telle action en exécution est un jugement formateur, attribuant directement la propriété au demandeur qui peut alors requérir lui- même l'inscription, laquelle est déclarative (arrêt du Tribunal fédéral 5P.19/2005 du 25 mai 2005, consid. 2.2). L'action fondée sur cette disposition présuppose la conclusion du contrat principal ou le jugement qui en tient lieu (ATF 97 II 48 = JdT 1972 I 58), car l'attribution par le juge peut suppléer à l'autorisation de l'inscription, mais non à la cause de l'acquisition de la propriété (ATF 50 II 375). Le titre d'acquisition doit être invoqué contre le propriétaire lui-même, et non contre un tiers; autrement dit, il faut que le propriétaire soit en même temps l'aliénateur de l'immeuble (ATF 75 II 131 = JdT 1950 I 90).</w:t>
      </w:r>
    </w:p>
    <w:p>
      <w:r>
        <w:rPr>
          <w:b/>
        </w:rPr>
        <w:t>E. 3.1.1</w:t>
      </w:r>
    </w:p>
    <w:p>
      <w:r>
        <w:t>La promesse de vente est un contrat synallagmatique par lequel un propriétaire s'oblige à vendre un immeuble à des conditions et dans un délai déterminés à une personne qui s'oblige à l'acquérir. L'avantage de cette institution réside dans la faculté de soumettre la passation de l'acte à conclure à une condition suspensive, casuelle ou potestative consistant dans une autorisation de construire, le déclassement du terrain, l'obtention d'un crédit de construction, etc. ou à un terme (arrêt du Tribunal fédéral 4C.68/2002 du 6 juin 2002, consid. 2a et les références citées). L'engagement ne porte pas sur le transfert de propriété, mais sur la conclusion ultérieure du contrat de vente. La distinction entre les deux contrats se manifeste notamment dans les conséquences de l'inexécution : en cas de vente, l'acheteur peut agir en transfert de la propriété (art. 665 CC) et le vendeur en paiement du prix; dans la promesse, les parties ne peuvent agir qu'en conclusion du contrat de vente (TERCIER, Les contrats spéciaux, 4ème éd., Genève/Zurich/Bâle 2009, n. 1054). Cette distinction est souvent difficile en</w:t>
      </w:r>
    </w:p>
    <w:p>
      <w:r>
        <w:t>- 15/24 -</w:t>
      </w:r>
    </w:p>
    <w:p>
      <w:r>
        <w:t>C/8300/2010 raison de la proximité des contenus de ces contrats; le critère décisif consiste en ce que les parties ont voulu (art. 18 CO) (TERCIER, op. cit., n. 1056). Selon la jurisprudence du Tribunal fédéral, le précontrat qui contient déjà tous les éléments essentiels du contrat principal doit être assimilé à ce contrat. Ainsi la promesse de vente doit-elle être traitée, en principe, à l'égal d'une vente lorsque cette dernière doit être conclue à des conditions identiques à celles stipulées dans la promesse (ATF 129 III 264 consid. 3.2.1 et les références citées; 118 II 32 consid. 3b et c = JdT 1993 I 387). Les parties peuvent alors agir directement en exécution des prestations de la vente (TERCIER, op. cit., n. 1056). Ainsi, en cas d'inexécution d'une promesse dont tous les points sont déterminés à rigueur de droit, le créancier pourra agir en exécution contre le débiteur sans avoir à passer par le stade de la conclusion du contrat promis (arrêt du Tribunal fédéral 4C.68/2002 précité, consid. 2a; ATF 118 II 32 consid. 3b et c). En particulier, si les parties désirent se lier l'une à l'autre au sujet de la vente d'un immeuble, sans avoir la faculté de ne pas exécuter leurs engagements, elles concluront une promesse bilatérale de vente et d'achat. Au cas où la condition à laquelle cette promesse de vente était soumise se réalise ou si le terme fixé survient, il se peut que l'une ou l'autre des parties, à ce moment-là, ne veuille plus tenir ses engagements. Le juge, qui devra examiner selon l'art. 18 CO quelle est la commune et réelle intention des parties, constatera qu'elles ont voulu, l'une et l'autre, vendre, respectivement acheter un immeuble si une certaine condition se réalise ou à l'échéance d'un certain terme. Ces événements étant survenus, le juge constatera qu'il y a lieu de rendre un jugement qui tienne place du contrat de vente et d'allouer à l'acquéreur la propriété sur l'immeuble promis-vendu, en ordonnant l'inscription de l'immeuble au chapitre du nouveau propriétaire (arrêt du Tribunal fédéral 4C.68/2002 précité et les références citées). La réelle et commune intention des parties se détermine en ayant recours à la théorie de la confiance, laquelle commande de rechercher comment une déclaration ou une attitude pouvait être comprise de bonne foi, en fonction de l'ensemble des circonstances (interprétation dite objective; cf. ATF 130 III 417 consid. 3.2.; 129 III 118 consid. 2.5).</w:t>
      </w:r>
    </w:p>
    <w:p>
      <w:r>
        <w:rPr>
          <w:b/>
        </w:rPr>
        <w:t>E. 3.1.2</w:t>
      </w:r>
    </w:p>
    <w:p>
      <w:r>
        <w:t>Selon la jurisprudence concernant l'art. 216 CO, la forme authentique doit porter sur tous les éléments objectivement essentiels du contrat, et aussi sur les points subjectivement essentiels, pour autant que ces derniers, de par leur nature, constituent un élément du contrat de vente; il s'agit de tous les éléments qui affectent le rapport entre la prestation et la contre-prestation issues de la vente (ATF 135 III 295 consid. 3.2; 113 II 402 consid. 2a; 119 II 135 consid. 2a). L'acte authentique doit donc énoncer toutes les contre-prestations promises en échange du bien immobilier et le prix indiqué doit correspondre à celui réellement convenu; à défaut, l'acte est nul parce que simulé (ATF 135 III 295 précité et les références citées).</w:t>
      </w:r>
    </w:p>
    <w:p>
      <w:r>
        <w:t>- 16/24 -</w:t>
      </w:r>
    </w:p>
    <w:p>
      <w:r>
        <w:t>C/8300/2010 Il est possible d'assortir le contrat de vente immobilière - lequel peut être soumis à une condition suspensive (art. 217 al. 1 CO) - d'un droit d'emption annoté au registre foncier (ATF 103 III 97 consid. 2b). Ce droit est défini comme un droit d'acquisition conditionnel subordonné à une condition suspensive potestative, la déclaration d'exercice du droit (ATF 121 III 210 consid. 3c; 126 III 421 consid. 3a/aa); il s'analyse comme une vente conditionnelle (ATF 129 III 264 consid. 3.2.1 et les références citées). La condition est un événement futur incertain dont les parties font dépendre un effet juridique. Elle peut concerner tout type de contrat, mais aussi une obligation, sa naissance, sa modification ou son extinction. Si l'événement futur est certain, il s'agit d'un terme, et non d'une condition (TERCIER, Le droit des obligations, 3ème éd., Zurich/Bâle/Genève 2004, n. 811). Le contrat soumis à une condition suspensive ne produit d'effet qu'à compter du moment où la condition s'accomplit, si les parties n'ont pas manifesté une intention contraire (art. 151 al. 2 CO).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l'art. 156 CO. Le degré de liberté subsistant pour la partie concernée, d'une part, et les devoirs qui lui sont imposés par les règles de la bonne foi, d'autre part, doivent être déterminés dans chaque cas d'espèce en tenant compte de l'ensemble des circonstances et, en particulier, de l'objet et du but du contrat, dûment interprété selon le principe de la confiance (ATF 135 III 295 consid. 5.2 et les références citées). L'interprétation selon le principe de la confiance, y compris celle d'un contrat dont la validité dépend d'une forme particulière, comme en l'espèce, consiste à rechercher comment les parties, lorsque leur accord s'est formé, pouvaient comprendre de bonne foi les clauses adoptées par elles, en fonction du contexte dans lequel elles ont négocié.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éléments du contrat, du but poursuivi par les parties ou d'autres circonstances que le texte de cette clause ne restitue pas exactement le sens de l'accord conclu. Il n'y a cependant pas lieu de s'écarter du sens littéral du texte adopté par les cocontractants lorsqu'il n'y a aucune raison sérieuse de penser que celui-ci ne corresponde pas à leur volonté (ATF 135 III 295 consid. 5.2 et les références citées).</w:t>
      </w:r>
    </w:p>
    <w:p>
      <w:r>
        <w:rPr>
          <w:b/>
        </w:rPr>
        <w:t>E. 3.1.3</w:t>
      </w:r>
    </w:p>
    <w:p>
      <w:r>
        <w:t>Conformément à l'art. 214 al. 1 CO, qui s'applique par analogie en matière immobilière (art. 221 CO; ATF 96 II 47 = JdT 1971 I 525; 86 II 221 = JdT 1961 I 203),</w:t>
      </w:r>
    </w:p>
    <w:p>
      <w:r>
        <w:t>- 17/24 -</w:t>
      </w:r>
    </w:p>
    <w:p>
      <w:r>
        <w:t>C/8300/2010 le vendeur a le droit de se départir "sans autre formalité" d'un contrat de vente d'immeuble lorsque l'acheteur aurait dû payer le prix à un terme fixé, mais ne s'est pas acquitté en temps utile. Le vendeur n'est pas tenu d'impartir un délai supplémentaire à l'acheteur pour s'exécuter; il doit néanmoins l'aviser immédiatement s'il veut faire usage de ce droit (art. 214 al. 2 CO), soit aussi rapidement que possible selon la marche habituelle des affaires et les circonstances particulières de l'espèce (ATF 69 II 245 consid. 5 = JdT 1944 I 141). Dans un arrêt relatif à une vente immobilière, le Tribunal fédéral a jugé qu'un avis de résiliation au sens de l'art. 214 al. 2 CO, communiqué à l'acheteur 7 jours après le terme fixé pour le paiement de la majeure partie du prix de vente et le transfert de propriété au registre foncier, avait été effectué en temps utile (ATF 96 II 47 = JdT 1971 I 525). En outre, selon cette jurisprudence (ATF 96 II 47 = JdT 1971 I 525), le vendeur pouvait également, par "déclaration immédiate" au sens de l'art. 107 al. 2 CO (ATF 54 II 31 = JdT 1928 I 528), se départir du contrat en vertu de l'art. 108 ch. 3 CO suivant lequel la fixation d'un délai n'est pas nécessaire lorsqu'aux termes du contrat, l'exécution doit avoir lieu exactement à un terme fixé ou dans un délai déterminé (Cf. ég. ATF 86 II 221 = JdT 1961 I 203). Celui qui poursuit l'exécution d'un contrat bilatéral doit avoir exécuté ou offrir d'exécuter sa propre obligation, à moins qu'il ne soit au bénéfice d'un terme d'après les clauses ou la nature du contrat (art. 82 CO). 3.2.1 En l'espèce, il ressort de l'énoncé des clauses principales de la promesse de vente et d'achat des 2 et 18 septembre 2008 que l'accord conclu entre les parties en la forme authentique contenait déjà tous les éléments objectivement essentiels de la vente immobilière projetée (noms des parties, désignation précise de l'immeuble vendu, indication détaillée du prix de vente et de ses modalités de versement, obligation de transférer la propriété). Contrairement à ce que l'intimée persiste à soutenir en appel, pour tenter de démontrer que la promesse précitée ne pourrait être assimilée à un contrat de vente, l'obligation des appelants de rémunérer l'intimée pour les travaux à plus-value, séparément du prix de vente et avant la signature de l'acte de vente définitif, ne constituait pas un élément subjectivement essentiel du contrat conclu entre les parties. En effet, bien que la possibilité de faire exécuter de tels travaux soit admise par le contrat, les travaux à plus- value n'étaient pas inclus dans les prestations comprises dans le prix de l'ouvrage, telles qu'elles résultent expressément du contrat (p. 14 s.) et du descriptif des travaux. Les travaux à plus-value ayant été contractuellement exclus du prix de vente, ils devaient être rémunérés en sus. Dès lors, la clause régissant le paiement des travaux à plus-value n'affecte pas le rapport entre prestation et contre-prestation découlant du contrat de vente immobilière, de sorte qu'elle ne saurait revêtir un caractère essentiel pour les parties. À cet égard, le fait que la question du paiement des travaux à plus-value ait été "importante" aux yeux de l'intimée n'est pas déterminant.</w:t>
      </w:r>
    </w:p>
    <w:p>
      <w:r>
        <w:t>- 18/24 -</w:t>
      </w:r>
    </w:p>
    <w:p>
      <w:r>
        <w:t>C/8300/2010 Il s'ensuit que la promesse de vente et d'achat des 2 et 18 septembre 2008 contenait déjà tous les éléments essentiels du contrat principal, de sorte qu'elle doit être assimilée à une vente immobilière, cette dernière devant en effet être conclue à des conditions identiques à celles stipulées dans la promesse. En examinant quelle était la commune et réelle intention des parties, la Cour de céans constate qu'elles ont voulu, l'une et l'autre, vendre, respectivement acheter la part de copropriété litigieuse à l'échéance du terme convenu et aux conditions stipulées par le contrat. Au vu de ce qui précède, la promesse de vente et d'achat des 2 et 18 septembre 2008 est susceptible d'être invoquée comme cause de l'acquisition de la part de copropriété litigieuse. 3.2.2 Les appelants reprochent au premier juge d'avoir retenu que la vente litigieuse était soumise à une condition suspensive. Or, que cette vente ait revêtu un caractère conditionnel n'est pas douteux. Quand bien même un terme a été contractuellement fixé pour la signature de l'acte de vente définitif, il n'en demeure pas moins que la vente était conditionnelle: elle était soumise, pour les appelants, au paiement du prix selon les modalités et aux échéances convenues, et pour l'intimée, à la construction et à la livraison de l'immeuble selon les modalités et aux échéances convenues. À cet égard, l'interprétation du contrat effectuée par le premier juge conformément à la théorie de la confiance ne prête pas le flanc à la critique : il résulte du dossier soumis à la Cour que l'effet différé de la vente au 18 décembre 2009, puis au 20 janvier 2010, était effectivement destiné à permettre, à l'intimée, de terminer les travaux de construction et de finition de l'appartement vendu et, aux appelants, d'obtenir le financement de leur acquisition et de payer le solde du prix de vente au terme prévu pour la signature de l'acte de vente définitif. La condition stipulée était une condition suspensive, au sens des art. 151 à 153 CO. Au demeurant, la loi n'admet que ce type de condition pour une vente immobilière (cf. art. 217 al. 1 CO). L'on ne saurait suivre les appelants lorsqu'ils soutiennent, en substance, que l'interprétation du contrat par le premier juge est insoutenable, dans la mesure où elle implique qu'ils avaient l'obligation de payer le solde du prix de vente alors même que l'intimée était en demeure, n'ayant ni terminé les travaux ni livré l'appartement au terme convenu pour la signature de l'acte de vente définitif, soit le 18 décembre 2009. Il résulte en effet du dossier soumis à la Cour que seuls certains travaux à plus-value commandés par les appelants n'étaient pas achevés à cette échéance. A contrario, les travaux de construction inclus dans le prix de vente, qui faisaient l'objet de la prestation principale de l'intimée, étaient terminés. Dès lors, l'on ne saurait retenir que l'intimée était en demeure à la date précitée. Il résulte en outre des pièces figurant au dossier que l'intimée n'a pas été en mesure de mettre à disposition l'appartement litigieux à l'échéance du terme précité en raison du temps requis par l'exécution des travaux à plus-value commandés par les appelants, des exigences de ceux-ci à cet égard, ainsi que des dissensions entre les parties quant au</w:t>
      </w:r>
    </w:p>
    <w:p>
      <w:r>
        <w:t>- 19/24 -</w:t>
      </w:r>
    </w:p>
    <w:p>
      <w:r>
        <w:t>C/8300/2010 coût et au paiement de ces travaux. L'on relèvera que les appelants demandaient encore par courrier du 8 janvier 2010 à l'intimée de faire procéder à des finitions sur des travaux de plus-value. Dans ces circonstances, le fait que la livraison de l'appartement litigieux ne soit pas intervenue au 18 décembre 2009 ne saurait être imputable à faute à l'intimée. Le contrat (p. 6) prévoit d'ailleurs à cet égard que les appelants ne pourraient prétendre à aucune indemnité dans le cas où la mise à disposition de l'appartement devrait être reportée à une date ultérieure au 18 décembre 2009, par suite de circonstances non imputable à l'intimée ou à l'entreprise générale. Pour le surplus, cette date était également le terme convenu pour le paiement par les appelants du solde du prix de vente de 1'044'000 fr. en mains du notaire ayant instrumentalisé la vente. Or, à cette date, les appelants n'avaient pas encore finalisé avec leur banque l'emprunt hypothécaire nécessaire au paiement du solde du prix de vente, ainsi qu'au paiement des travaux à plus-value dont ils ne s'étaient pas intégralement acquittés auprès de l'intimée. Dans ces conditions, les appelants sont malvenus de se prévaloir d'une prétendue demeure de l'intimée à l'échéance du terme convenu. Il découle de ce qui précède qu'au moment de la signature de la promesse de vente et d'achat, les parties avaient la ferme intention de conclure et que la conclusion définitive du contrat, suite à l'avènement de la condition afférant à l'achèvement des travaux et au financement de l'acquisition, n'était plus dépendante que de celle-ci, comme l'a retenu à bon droit le premier juge. Conformément à la jurisprudence précitée, les parties se trouvaient alors dans l'obligation de se comporter de bonne foi s'agissant de rendre possible l'avènement de cette condition. 3.2.3 Il résulte du dossier soumis à la Cour de céans que les parties ont reporté le jour de la signature de l'acte de vente définitif du 18 décembre 2009 au 20 janvier 2010, cette dernière date correspondant à la date d'échéance du droit d'emption prévu par le contrat. Au vu des pièces figurant au dossier, l'intimée avait, pour sa part, achevé tous les travaux inclus dans le prix de vente. Par conséquent, pour permettre l'accomplissement de la condition dont dépendait la vente, soit, en ce qui concernait les appelants, le paiement du solde du prix de vente le jour de la signature de l'acte de vente définitif (cf. supra 3.2.2), il leur incombait d'entreprendre toutes les démarches nécessaires pour que ce solde soit versé en mains du notaire au plus tard le 20 janvier 2010. Les appelants ne pouvaient ignorer cette incombance, qui résultait clairement du texte de la promesse de vente et d'achat conclue (p. 13), ainsi que des explications du notaire qui les avait reçus près de deux heures en son étude le 7 janvier 2010 pour revoir l'acte de vente définitif, en leur spécifiant qu'il était impératif qu'ils lui fournissent l'offre de leur banque relative au financement, afin de pouvoir procéder à l'appel de fonds en vue de la signature de l'acte de vente le 20 janvier 2010. Or, à la veille de cette échéance, les</w:t>
      </w:r>
    </w:p>
    <w:p>
      <w:r>
        <w:t>- 20/24 -</w:t>
      </w:r>
    </w:p>
    <w:p>
      <w:r>
        <w:t>C/8300/2010 appelants n'avaient toujours pas fourni l'offre de leur banque au notaire, qui leur a donc adressé un courriel pour leur signifier que, sans cette offre, l'acte de vente définitif ne pourrait pas être instrumenté, le prix de vente devant être payé le jour de la signature de l'acte. Or, les appelants disposaient du financement nécessaire à l'acquisition depuis le 12 janvier 2010, de sorte que rien ne les empêchait de verser le solde du prix de vente comme convenu, ce qu'ils n'ont pas fait. Dans ces circonstances, la Cour retiendra que les appelants ont empêché l'avènement de la condition dont dépendait la vente contrairement au principe de la bonne foi, comme l'a constaté à juste titre le Tribunal. Si les appelants avaient agi de bonne foi en s'acquittant du solde du prix de vente comme convenu, l'intimée n'aurait eu d'autre choix que de faire procéder au transfert de propriété de la part de copropriété litigieuse et de la mettre à disposition des appelants. En effet, une éventuelle absence de l'intimée au jour de la signature de l'acte de vente définitif, reporté au 20 janvier 2010, n'aurait pas porté à conséquence en raison du droit d'emption qu'elle avait concédé jusqu'à cette même date aux appelants dans la promesse de vente litigieuse. Dès lors, l'on ne saurait suivre les appelants lorsqu'ils soutiennent que l'insertion dans le contrat du droit d'emption précité était "inutile et décorative". Par ailleurs, l'argument subsidiaire des appelants selon lequel ils auraient exercé ledit droit d'emption dans leurs courriers des 7, 14 et 18 janvier 2010 tombe à faux, dans la mesure où il ressort des pièces figurant au dossier, et en particulier de l'audition du notaire ayant instrumentalisé la vente, que le droit d'emption conféré par la promesse de vente visait à pallier une éventuelle absence de l'intimée le jour prévu pour la signature de l'acte de vente définitif. Par conséquent, l'on ne saurait considérer que ce droit d'emption était indépendant et pouvait être exercé avant même la date de la signature de l'acte de vente définitif, soit avant le 20 janvier 2010. Enfin, l'on ne saurait considérer, à l'instar des appelants, que le comportement de l'intimée était constitutif d'un abus de droit. Comme relevé plus haut (cf. supra 3.2.2), le fait que la délivrance du bien immobilier vendu ne soit pas intervenue au terme initialement convenu n'est pas imputable à l'intimée et, à cette date, cette dernière avait achevé les travaux de construction qui faisaient l'objet des prestations incluses dans le prix de vente. En outre, l'intimée a encore confirmé aux appelants, lors d'une conversation téléphonique du 15 janvier 2010, que ces derniers pourraient entrer dans l'appartement après paiement du solde. Ainsi, ce grief également s'avère infondé. Partant, le contrat conclu entre les parties les 2 et 18 septembre 2008 n'a pas pu déployer ses effets, faute de l'accomplissement de la condition suspensive qu'il prévoyait. La raison pour laquelle la condition ne s'est pas réalisée ne résulte pas de l'impossibilité pour les appelants de s'acquitter du solde du prix de vente, mais bien de leur volonté de ne pas verser les fonds du fait de leur désaccord quant au paiement des travaux à plus- value, comme le premier juge l'a retenu à juste titre. Or, la vente immobilière projetée</w:t>
      </w:r>
    </w:p>
    <w:p>
      <w:r>
        <w:t>- 21/24 -</w:t>
      </w:r>
    </w:p>
    <w:p>
      <w:r>
        <w:t>C/8300/2010 ne dépendait ni de l'exécution des travaux à plus-value, ni de leur financement, contrairement à ce que semblent penser les appelants. 3.2.4 En l'espèce, il résulte de la promesse de vente et d'achat des 2 et 18 septembre 2008 que l'immeuble litigieux ne devait être livré que contre paiement du solde du prix de vente en mains du notaire le jour de la signature de l'acte de vente définitif, devant intervenir au plus tard le 18 décembre 2009, ce terme ayant été reporté au 20 janvier 2010. À cette échéance, l'intimée avait, pour sa part, satisfait à ses obligations principales découlant du contrat, dans la mesure où tous les travaux inclus dans le prix de vente étaient achevés (cf. supra 3.2.2 et 3.2.3). Il y a ainsi lieu de considérer qu'elle était en mesure de mettre à disposition l'appartement litigieux, même si elle n'en avait pas avisé les appelants comme elle aurait dû le faire, conformément aux termes du contrat. En revanche, au 20 janvier 2010, les appelants n'avaient pas rempli leur obligation principale: ils n'ont pas fait procéder au virement du solde du prix de vente en mains du notaire, comme ils y étaient contractuellement tenus, de sorte qu'ils étaient en demeure. Il s'ensuit que l'intimée était en droit de se départir du contrat "sans autre formalité", moyennant avis immédiat (cf. art. 214 al. 1 et 2 CO); en fait, elle a donné cet avis par courrier du 26 janvier 2010, par lequel elle a informé les appelants qu'elle était déliée de sa promesse de vente et n'entendait pas signer le contrat de vente. Au vu de la jurisprudence susmentionnée (cf. supra 3.1.4), ainsi que des circonstances particulières de l'espèce, il y a lieu de retenir que cet avis a été donné en temps utile. Il faut en effet compter un certain laps de temps afin que le notaire détermine s'il a reçu ou non le virement bancaire prévu, communique cette information à l'intimée, que celle-ci se détermine à cet égard et communique à son tour sa décision aux appelants. L'intimée pouvait se départir du contrat également en vertu de l'art. 108 ch. 3 CO, "par déclaration immédiate" (cf. art. 107 al. 2 CO); à cet égard également, sa déclaration du 26 janvier 2010 n'était pas tardive. Partant, la Cour retiendra que l'intimée était fondée à se départir du contrat litigieux, ce qu'elle a fait en temps utile.</w:t>
      </w:r>
    </w:p>
    <w:p>
      <w:r>
        <w:rPr>
          <w:b/>
        </w:rPr>
        <w:t>E. 4</w:t>
      </w:r>
    </w:p>
    <w:p>
      <w:r>
        <w:t>Vu l'ensemble de ce qui précède, le premier jugement sera confirmé.</w:t>
      </w:r>
    </w:p>
    <w:p>
      <w:r>
        <w:rPr>
          <w:b/>
        </w:rPr>
        <w:t>E. 5</w:t>
      </w:r>
    </w:p>
    <w:p>
      <w:r>
        <w:t>Conformément au principe de la maxime des débats, applicable à la présente cause, la Cour de céans n'entrera pas en matière sur l'application de la clause pénale prévue par le contrat litigieux (p. 16), dans la mesure où l'intimée ne s'en est pas prévalue.</w:t>
      </w:r>
    </w:p>
    <w:p>
      <w:r>
        <w:rPr>
          <w:b/>
        </w:rPr>
        <w:t>E. 6</w:t>
      </w:r>
    </w:p>
    <w:p>
      <w:r>
        <w:t>Les frais (frais judiciaires et dépens) sont mis à la charge de la partie qui succombe (art. 95 et 106 al. 1 ab initio CPC). En l'espèce, les frais judiciaires d'appel sont arrêtés à 15'000 fr. (art. 17 et 35 RTFMC - E 1 05.10; art. 15 al. 2 et 5 LaCC - E 1 05).</w:t>
      </w:r>
    </w:p>
    <w:p>
      <w:r>
        <w:t>- 22/24 -</w:t>
      </w:r>
    </w:p>
    <w:p>
      <w:r>
        <w:t>C/8300/2010 Vu l'issue du litige, ils seront mis à la charge des appelants, qui ont déjà avancé la somme de 20'000 fr. à ce titre. La différence de 5'000 fr. leur sera donc restituée, la somme de 15'000 fr. restant acquise à l'Etat. Les appelants seront également condamnés aux dépens d'appel de l'intimée, arrêtés à 8'000 fr., débours et TVA compris (art. 85 et 90 RTFMC; art. 18 al. 1, 20 et 21 LaCC).</w:t>
      </w:r>
    </w:p>
    <w:p>
      <w:r>
        <w:rPr>
          <w:b/>
        </w:rPr>
        <w:t>E. 7</w:t>
      </w:r>
    </w:p>
    <w:p>
      <w:r>
        <w:t>La valeur litigieuse, au sens de l'art. 51 al. 4 LTF, excède 30'000 fr. * * * * * *</w:t>
      </w:r>
    </w:p>
    <w:p>
      <w:r>
        <w:t>- 23/24 -</w:t>
      </w:r>
    </w:p>
    <w:p>
      <w:r>
        <w:t>C/8300/2010 PAR CES MOTIFS, La Chambre civile : A la forme : Déclare recevable l'appel interjeté par Dame X ______ et X ______ contre le jugement JTPI/15867/2011 prononcé le 10 novembre 2011 par le Tribunal de première instance dans la cause C/8300/2010-13. Au fond : Confirme ledit jugement. Déboute les parties de toutes autres conclusions. Statuant sur les frais : Arrête les frais judiciaires d'appel à 15'000 fr., compensés avec l'avance de frais fournie, acquise à l'Etat. Les met à la charge de Dame X ______ et X ______. Ordonne aux Services financiers du pouvoir judiciaire de restituer à Dame X ______ et X ______ la somme de 5'000 fr. Condamne Dame X ______ et X ______, conjointement et solidairement, à verser 8'000 fr. à Y ______ à titre de dépens d'appel. Déboute les parties de toutes autres conclusions. Siégeant : Madame Valérie LAEMMEL-JUILLARD, présidente; Monsieur Pierre CURTIN, Madame Nathalie LANDRY-BARTHE, juges; Madame Barbara SPECKER, greffière.</w:t>
      </w:r>
    </w:p>
    <w:p>
      <w:r>
        <w:t>La présidente : Valérie LAEMMEL-JUILLARD</w:t>
      </w:r>
    </w:p>
    <w:p>
      <w:r>
        <w:t>La greffière : Barbara SPECKER</w:t>
      </w:r>
    </w:p>
    <w:p>
      <w:r>
        <w:t>- 24/24 -</w:t>
      </w:r>
    </w:p>
    <w:p>
      <w:r>
        <w:t>C/8300/2010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