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ACJC/1033/2017 vom 29. August 2017</w:t>
      </w:r>
    </w:p>
    <w:p>
      <w:r>
        <w:t>GE Cour de justice, 2017-08-29, FR</w:t>
      </w:r>
    </w:p>
    <w:p>
      <w:r>
        <w:rPr>
          <w:b/>
        </w:rPr>
        <w:t xml:space="preserve">Quelle: </w:t>
      </w:r>
      <w:r>
        <w:t>https://mcp.opencaselaw.ch/entscheid/ge_gerichte_ACJC_1033_2017</w:t>
      </w:r>
    </w:p>
    <w:p>
      <w:r>
        <w:t>FR: GE_GERICHTE ACJC/1033/2017 du 29 août 2017</w:t>
      </w:r>
    </w:p>
    <w:p>
      <w:r>
        <w:t>IT: GE_GERICHTE ACJC/1033/2017 del 29 agosto 2017</w:t>
      </w:r>
    </w:p>
    <w:p>
      <w:pPr>
        <w:pStyle w:val="Heading2"/>
      </w:pPr>
      <w:r>
        <w:t>Erwägungen</w:t>
      </w:r>
    </w:p>
    <w:p>
      <w:r>
        <w:rPr>
          <w:b/>
        </w:rPr>
        <w:t>E. 1</w:t>
      </w:r>
    </w:p>
    <w:p>
      <w:r>
        <w:t>Le jugement attaqué constitue une décision finale de première instance (art. 236 al. 1 et 308 al. 1 let. a CPC). La valeur litigieuse étant supérieure à 10'000 fr., la voie de l'appel est ouverte (art. 308 al. 2 CPC).</w:t>
      </w:r>
    </w:p>
    <w:p>
      <w:r>
        <w:t>Celui-ci a été interjeté dans le délai de trente jours et selon la forme prescrite par la loi (art. 130, 131 et 311 al. 1 CPC), de sorte qu'il est recevable.</w:t>
      </w:r>
    </w:p>
    <w:p>
      <w:r>
        <w:t>La Cour revoit la cause avec plein pouvoir d'examen (art. 310 CPC). La procédure simplifiée est applicable (art. 243 al. 1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Cette disposition trouve également application lorsque la cause est régie par la procédure simplifiée (arrêt du Tribunal fédéral 4A_228/2012 du 1er octobre 2012 consid. 2.2), comme dans le cas présent.</w:t>
      </w:r>
    </w:p>
    <w:p>
      <w:r>
        <w:rPr>
          <w:b/>
        </w:rPr>
        <w:t>E. 2.2</w:t>
      </w:r>
    </w:p>
    <w:p>
      <w:r>
        <w:t>En l'espèce, la pièce déposée par l'intimée à l'appui de sa réponse a été établie certes après le jugement entrepris mais consiste en une rectification de ses propres propos tenus lors d'une audience dans une procédure parallèle ayant eu lieu avant la clôture des débats. Dès lors que cette pièce aurait pu être produite avant que la cause soit gardée à juger devant le Tribunal, afin d'appuyer les faits allégués par l'intimée, et que cette dernière n'explique pas les raisons pour lesquelles elle aurait été dans l'impossibilité de le faire devant l'autorité précédente, ladite pièce, ainsi</w:t>
      </w:r>
    </w:p>
    <w:p>
      <w:r>
        <w:t>- 8/12 -</w:t>
      </w:r>
    </w:p>
    <w:p>
      <w:r>
        <w:t>C/13252/2014 que les faits qui s'y rapportent, sont irrecevables et il n'en sera pas tenu compte pour statuer dans le présent appel.</w:t>
      </w:r>
    </w:p>
    <w:p>
      <w:r>
        <w:rPr>
          <w:b/>
        </w:rPr>
        <w:t>E. 3</w:t>
      </w:r>
    </w:p>
    <w:p>
      <w:r>
        <w:t>L'appelant formule divers griefs, notamment celui d'une violation de son droit d'être entendu; vu sa nature formelle, celui-ci sera examiné en premier lieu.</w:t>
      </w:r>
    </w:p>
    <w:p>
      <w:r>
        <w:t>L'appelant reproche au Tribunal d'avoir violé son droit d'être entendu et l'art. 187 al. 4 CPC en refusant de donner suite à sa demande de complément d'expertise. Ladite expertise était incomplète, contradictoire et partait d'une fausse prémisse.</w:t>
      </w:r>
    </w:p>
    <w:p>
      <w:r>
        <w:rPr>
          <w:b/>
        </w:rPr>
        <w:t>E. 3.1</w:t>
      </w:r>
    </w:p>
    <w:p>
      <w:r>
        <w:t>Les parties ont le droit d'être entendues (art. 29 al. 2 Cst.).</w:t>
      </w:r>
    </w:p>
    <w:p>
      <w:r>
        <w:t>La jurisprudence a déduit du droit d'être entendu, tel que garanti par l'art.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arrêt du Tribunal fédéral 5A_265/2015 du 22 septembre 2015 consid. 2.2.1).</w:t>
      </w:r>
    </w:p>
    <w:p>
      <w:r>
        <w:t>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et 126 I 68 consid. 2; arrêt du Tribunal fédéral 4A_366/2014 du 20 octobre 2014 consid. 3).</w:t>
      </w:r>
    </w:p>
    <w:p>
      <w:r>
        <w:t>3.2.1 Le tribunal peut, à la demande d'une partie ou d'office, demander une expertise à un ou plusieurs experts (art. 181 al. 1 CPC).</w:t>
      </w:r>
    </w:p>
    <w:p>
      <w:r>
        <w:t>Le tribunal peut ordonner que le rapport de l'expert soit déposé par écrit ou présenté oralement. L'expert peut en outre être cité à l'audience pour commenter son rapport écrit (art. 187 al. 1 CPC). Le tribunal donne aux parties l'occasion de demander des explications ou de poser des questions complémentaires (art. 187 al. 4 CPC).</w:t>
      </w:r>
    </w:p>
    <w:p>
      <w:r>
        <w:t>Lorsque le rapport d'expertise est produit, les parties doivent pouvoir se déterminer sur son contenu, ce qu'elles feront en plaidoiries s'il s'agit simplement de le critiquer, et, avant les plaidoiries finales, s'il s'agit de poser des questions additionnelles pour obtenir des éclaircissements ou des compléments, voire une extension ou un déplacement du champ de l'expertise. Le texte légal ne prévoit qu'un deuxième tour de questions, ce qui est suffisant dans la plupart des cas. Mais, sur requête motivée, ou selon sa propre initiative, le tribunal pourrait fort bien accepter de lancer une troisième salve (ou plus) de questions si l'expert n'est toujours pas assez compréhensible ou complet (SCHWEIZER, in CPC, Code de</w:t>
      </w:r>
    </w:p>
    <w:p>
      <w:r>
        <w:t>- 9/12 -</w:t>
      </w:r>
    </w:p>
    <w:p>
      <w:r>
        <w:t>C/13252/2014 procédure civile commenté, BOHNET/HALDY/JEANDIN/SCHWEIZER/TAPPY [éd.], 2011, n. 12 et 14 ad art. 187 CPC).</w:t>
      </w:r>
    </w:p>
    <w:p>
      <w:r>
        <w:t>3.2.2 A teneur de l'art. 188 al. 2 CPC, le tribunal peut, à la demande d'une partie ou d'office, faire compléter ou expliquer un rapport d'expertise lacunaire, peu clair ou insuffisamment motivé, ou faire appel à un autre expert.</w:t>
      </w:r>
    </w:p>
    <w:p>
      <w:r>
        <w:t>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l'art. 9 Cst. (ATF 138 III 193 consid. 4.3.1, 136 II 359 consid. 3.2 et 130 I 337 consid. 5.4.2; arrêt du Tribunal fédéral 5A_478/2013 du</w:t>
      </w:r>
    </w:p>
    <w:p>
      <w:r>
        <w:rPr>
          <w:b/>
        </w:rPr>
        <w:t>E. 3.3</w:t>
      </w:r>
    </w:p>
    <w:p>
      <w:r>
        <w:t>En l'espèce, l'appelant n'a pas été entendu par l'expert, et n'a, partant, pas pu formuler d'observation avant que le rapport soit rendu. Il allègue n'avoir reçu qu'un courriel de ce dernier le 27 août 2016, qui lui proposait un entretien soit pour le lendemain, soit pour le 30 août 2016, date à laquelle ledit rapport a été établi et transmis au Tribunal. Cette allégation n'a pas été contestée; l'expert pour sa part n'a pas précisé à quel moment il avait sollicité un rendez-vous avec l'appelant. Il est partant plausible que ce dernier a été averti au dernier moment pour la prise d'un rendez-vous par courrier électronique dont on ignore s'il comportait les questions que l'expert voulait lui adresser. Le Tribunal a refusé sans motif que l'expert reprenne son rapport après audition de l'appelant comme celui-ci le requérait. Enfin, l'expert n'a pas non plus été entendu en audience contradictoire de sorte que l'appelant n'a pas pu lui poser des questions sur son expertise avant que le jugement entrepris, fondé dans une large mesure sur cette dernière, soit rendu.</w:t>
      </w:r>
    </w:p>
    <w:p>
      <w:r>
        <w:t>En particulier, le premier juge a admis sa compétence ratione loci, en se basant sur le rapport d'expertise, notamment en retenant que les prestations visées dans la</w:t>
      </w:r>
    </w:p>
    <w:p>
      <w:r>
        <w:t>- 10/12 -</w:t>
      </w:r>
    </w:p>
    <w:p>
      <w:r>
        <w:t>C/13252/2014 facture litigieuse étaient soumises au contrat de mandat de 2006, et dès lors, à la clause de prorogation de for en faveur des tribunaux genevois.</w:t>
      </w:r>
    </w:p>
    <w:p>
      <w:r>
        <w:t>L'expert a retenu, en page 2, sous le point "légitimité justification" que "[l]e contrat ne [faisait] aucune mention de planification, ni d'estimation d'un montant probable des prestations pour l'opération". Puis, il a conclu, en page 3, que "[l]es prestations de suivi d'intervention d'entreprise pouvant être considérées incluses aux prestations de chantier". Le Tribunal a considéré sur cette base que "les prestations (ou du moins certaines d'entre elles, dont notamment les activités n° 1, 2, 5 et 6) [avaient] été effectuées sur la base du contrat de mandat du 13 octobre 2006 liant les parties".</w:t>
      </w:r>
    </w:p>
    <w:p>
      <w:r>
        <w:t>Les explications précitées de l'expert sont peu claires, dès lors que ce dernier ne mentionne pas distinctement les prestations relatives à la facture n° 1______ ou celles incluses dans le contrat de mandat du 13 octobre 2006. Il n'est pas précisé si les termes employés dans l'expertise – "prestations de suivi d'intervention d'entreprise" et "prestations de chantier" – correspondent aux prestations prévues dans ladite facture ou dans ledit contrat. A supposer que ce soit le cas, cette conclusion n'est pas motivée, et peut paraître contradictoire avec ce que l'expert retient au point "légitimité justification", à savoir que le contrat de mandat ne fait aucune mention de certains points contenus dans la facture, sans ajouter que, sous réserve desdits points, les autres points font partie intégrante du contrat précité.</w:t>
      </w:r>
    </w:p>
    <w:p>
      <w:r>
        <w:t>Au vu de ce qui précède, le grief de l'appelant est fondé. Son droit d'être entendu ayant été violé, il y a lieu d'annuler le jugement entrepris. 4. 4.1 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w:t>
      </w:r>
    </w:p>
    <w:p>
      <w:r>
        <w:t>4.2 En l'espèce, le premier juge a analysé un point essentiel du litige, soit sa compétence à raison du lieu, uniquement sur la base d'un rapport d'expertise nécessitant des clarifications et qui devra faire l'objet d'observations futures par les parties. Compte tenu de l'importance de cette question et vu le principe du double degré de juridiction (JEANDIN, Code de procédure civile commenté, BOHNET/HALDY/JEANDIN/SCHWEIZER/TAPPY [éd.], 2011, n. 8 ad introduction aux art. 308-334), la Cour renverra la cause au Tribunal pour instruction complémentaire et nouvelle décision au fond dans le sens des considérants du présent arrêt. Dès lors que la question de la recevabilité de la demande initiale sous l'angle de la compétence ratione loci devra être à nouveau tranchée par le</w:t>
      </w:r>
    </w:p>
    <w:p>
      <w:r>
        <w:t>- 11/12 -</w:t>
      </w:r>
    </w:p>
    <w:p>
      <w:r>
        <w:t>C/13252/2014 premier juge, il n'est pas nécessaire d'examiner les autres arguments avancés par les parties. 5. Les frais judiciaires d'appel seront arrêtés à 1'370 fr. (art. 17 et 35 RTFMC). Ils sont entièrement couverts par l'avance de frais de même montant effectuée par l'appelant.</w:t>
      </w:r>
    </w:p>
    <w:p>
      <w:r>
        <w:t>Les dépens seront fixés à 1'970 fr., débours et TVA compris (art. 85 al. 1 et 90 RTFMC, art. 25 et 26 al. 1 LaCC).</w:t>
      </w:r>
    </w:p>
    <w:p>
      <w:r>
        <w:t>L'issue du litige étant incertaine, la répartition des frais judiciaires de la procédure d'appel sera déléguée à la juridiction précédente conformément à l'art. 104 al. 4 CPC. * * * * * *</w:t>
      </w:r>
    </w:p>
    <w:p>
      <w:r>
        <w:t>- 12/12 -</w:t>
      </w:r>
    </w:p>
    <w:p>
      <w:r>
        <w:t>C/13252/2014</w:t>
      </w:r>
    </w:p>
    <w:p>
      <w:r>
        <w:t>PAR CES MOTIFS, La Chambre civile : A la forme : Déclare recevable l'appel interjeté le 27 janvier 2017 par A______ contre le jugement JTPI/14963/2016 rendu le 7 décembre 2016 par le Tribunal de première instance dans la cause C/13252/2014-8. Au fond : Annule ce jugement. Renvoie la cause au Tribunal de première instance pour instruction complémentaire au sens des considérants et nouvelle décision. Sur les frais : Arrête les frais judiciaires de l'appel à 1'370 fr. Fixe les dépens d'appel à 1'970 fr. Délègue la répartition des frais judiciaires d'appel et des dépens d'appel au Tribunal de première instance. Siégeant : Mesdames Sylvie DROIN, présidentes; Monsieur Ivo BUETTI, Madame Ursula ZEHETBAUER GHAVAMI, juges; Madame Camille LESTEVEN, greffière.</w:t>
      </w:r>
    </w:p>
    <w:p>
      <w:r>
        <w:t>La présidente : Sylvie DROIN</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r>
        <w:rPr>
          <w:b/>
        </w:rPr>
        <w:t>E. 6</w:t>
      </w:r>
    </w:p>
    <w:p>
      <w:r>
        <w:t>novembre 2013 consid. 4.1).</w:t>
      </w:r>
    </w:p>
    <w:p>
      <w:r>
        <w:t>3.2.3 En vertu de l'art. 57 CPC, le juge applique le droit d'office. Il peut ainsi fonder sa décision sur des règles de droit dont les parties ne se sont pas prévalues (arrêt du Tribunal fédéral 4D_28/2013 du 23 octobre 2013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