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ACJC/1031/2017 vom 28. August 2017</w:t>
      </w:r>
    </w:p>
    <w:p>
      <w:r>
        <w:t>GE Cour de justice, 2017-08-28, FR</w:t>
      </w:r>
    </w:p>
    <w:p>
      <w:r>
        <w:rPr>
          <w:b/>
        </w:rPr>
        <w:t xml:space="preserve">Quelle: </w:t>
      </w:r>
      <w:r>
        <w:t>https://mcp.opencaselaw.ch/entscheid/ge_gerichte_ACJC_1031_2017</w:t>
      </w:r>
    </w:p>
    <w:p>
      <w:r>
        <w:t>FR: GE_GERICHTE ACJC/1031/2017 du 28 août 2017</w:t>
      </w:r>
    </w:p>
    <w:p>
      <w:r>
        <w:t>IT: GE_GERICHTE ACJC/1031/2017 del 28 agosto 2017</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t>- 4/6 -</w:t>
      </w:r>
    </w:p>
    <w:p>
      <w:r>
        <w:t>C/26553/2016</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Le recourant reproche au premier juge de n'avoir pas accordé la mainlevée définitive pour les frais de poursuite constatés dans le procès-verbal de saisie infructueuse, violant ainsi l'art. 68 LP.</w:t>
      </w:r>
    </w:p>
    <w:p>
      <w:r>
        <w:rPr>
          <w:b/>
        </w:rPr>
        <w:t>E. 2.1</w:t>
      </w:r>
    </w:p>
    <w:p>
      <w:r>
        <w:t>Les frais de la poursuite sont à la charge du débiteur (art. 68 LP).</w:t>
      </w:r>
    </w:p>
    <w:p>
      <w:r>
        <w:t>Les frais de poursuite ainsi que les émoluments de justice mis à la charge du poursuivi et les dépens alloués au poursuivant dans une procédure sommaire en matière de poursuites (art. 48, 49 et 62 OELP; art. 25 ch. 2 LP) suivent le sort de la poursuite en cours et n'ont pas à faire l'objet d'une poursuite distincte. La mainlevée de l'opposition n'a pas à être prononcée séparément pour ce poste (AJCJ/1010/2007 du 5 septembre 2007; GILLIERON, Commentaire de la loi fédérale sur la poursuite pour dettes et la faillite, n. 15 ad art. 68).</w:t>
      </w:r>
    </w:p>
    <w:p>
      <w:r>
        <w:t>Si le créancier les a avancés, ils sont recouvrés dans la poursuite en cours. Une poursuite séparée pour faire valoir les frais et dépens de la procédure de mainlevée n'est en principe pas possible, à moins que la première poursuite ait abouti à un acte de défaut de biens incluant les frais de poursuite (ABBET, La mainlevée de l'opposition, 2017, n. 114; STAHELIN, in Basler Kommentar, SchKG I, 2010, n. 76 ad art. 84 LP).</w:t>
      </w:r>
    </w:p>
    <w:p>
      <w:r>
        <w:rPr>
          <w:b/>
        </w:rPr>
        <w:t>E. 2.2</w:t>
      </w:r>
    </w:p>
    <w:p>
      <w:r>
        <w:t>En l'espèce, dans la poursuite n° 4______, à laquelle opposition avait été formée, l'ETAT DE VAUD a obtenu la mainlevée définitive de l'opposition, et requis la continuation de la poursuite, également pour les frais de celle-ci, sans qu'une décision de mainlevée ne soit nécessaire à cet égard. Cette poursuite a abouti à la délivrance d'un procès-verbal de saisie valant acte de défaut de biens, y compris pour les frais de poursuite, soit 30 fr. de frais de commandement de payer (et non d'intérêts comme mentionné à tort par le Tribunal), 25 fr. 50 de frais de saisie et 100 fr. d'émolument de mainlevée.</w:t>
      </w:r>
    </w:p>
    <w:p>
      <w:r>
        <w:t>Contrairement à ce qu'a retenu le premier juge, et conformément à la doctrine précitée, le recourant était fondé à requérir le recouvrement de ces frais dans une nouvelle poursuite. Ces frais, inclus dans le procès-verbal de saisie valant acte de défaut de biens, suivront le sort de la nouvelle poursuite en cours. Dès lors, la mainlevée définitive de l'opposition doit être prononcée non seulement pour la somme de 150 fr. résultant du jugement du 15 juillet 2008, mais également pour les frais de la poursuite infructueuse subséquente, résultant de l'acte de défaut de biens. Ceux de la poursuite en cours ne nécessitent pas une décision de mainlevée et suivront le sort de celle-ci.</w:t>
      </w:r>
    </w:p>
    <w:p>
      <w:r>
        <w:t>- 5/6 -</w:t>
      </w:r>
    </w:p>
    <w:p>
      <w:r>
        <w:t>C/26553/2016</w:t>
      </w:r>
    </w:p>
    <w:p>
      <w:r>
        <w:t>Le chiffre 1 du jugement querellé sera annulé. La cause étant en état d'être jugée, une décision nouvelle sera rendue (art. 327 al. 3 let. b CPC), dans le sens que la mainlevée définitive sera prononcée pour la totalité du chiffre 1 du commandement de payer, poursuite n° 1______.</w:t>
      </w:r>
    </w:p>
    <w:p>
      <w:r>
        <w:rPr>
          <w:b/>
        </w:rPr>
        <w:t>E. 3</w:t>
      </w:r>
    </w:p>
    <w:p>
      <w:r>
        <w:t>Les frais sont mis à la charge de la partie succombante (art. 106 al. 1 CPC).</w:t>
      </w:r>
    </w:p>
    <w:p>
      <w:r>
        <w:t>Si l'instance de recours statue à nouveau, elle se prononce sur les frais de la première instance (art. 318 al. 3 CPC applicable par analogie, JEANDIN, in CPC Code de procédure civile commenté, 2011, n. 9 ad art. 327 CPC).</w:t>
      </w:r>
    </w:p>
    <w:p>
      <w:r>
        <w:t>Le jugement qui condamne l'intimée succombante aux frais de première instance, arrêtés conformément à la loi et non remis en cause sur recours, sera confirmé sur ce point.</w:t>
      </w:r>
    </w:p>
    <w:p>
      <w:r>
        <w:t>Les frais du recours, arrêtés à 150 fr. (art. 48 et 61 OELP), seront mis à la charge de l'intimée qui succombe et compensés avec l'avance fournie, acquise à l'Etat de Genève (art. 111 al. 1 CPC).</w:t>
      </w:r>
    </w:p>
    <w:p>
      <w:r>
        <w:t>Il n'y a pas lieu à l'allocation de dépens, le recourant comparaissant en personne et n'ayant pas justifié de démarches particulières (art. 95 al. 3 let. c CPC). * * * * *</w:t>
      </w:r>
    </w:p>
    <w:p>
      <w:r>
        <w:t>- 6/6 -</w:t>
      </w:r>
    </w:p>
    <w:p>
      <w:r>
        <w:t>C/26553/2016 PAR CES MOTIFS, La Chambre civile : A la forme : Déclare recevable le recours interjeté le 8 mai 2017 par l'ETAT DE VAUD contre le chiffre 1 du dispositif du jugement JTPI/5145/2017 rendu le 24 avril 2017 par le Tribunal de première instance dans la cause C/26553/2016-10 SML. Au fond : Annule le chiffre 1 du dispositif de ce jugement. Cela fait, statuant à nouveau : Prononce la mainlevée définitive de l'opposition formée au commandement de payer dans la poursuite n° 1______ pour le poste n° 1 du commandement de payer. Déboute les parties de toutes autres conclusions. Sur les frais : Arrête les frais du recours à 150 fr., les met à la charge de A______, dit qu'ils sont compensés avec l'avance fournie, acquise à l'Etat de Genève. Condamne en conséquence A______ à verser à l'ETAT DE VAUD la somme de 150 fr. au titre de remboursement de cette avance. Dit qu'il n'y a pas lieu à l'allocation de dépens.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