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ACJC/1030/2020 vom 28. Juli 2020</w:t>
      </w:r>
    </w:p>
    <w:p>
      <w:r>
        <w:t>GE Cour de justice, 2020-07-28, FR</w:t>
      </w:r>
    </w:p>
    <w:p>
      <w:r>
        <w:rPr>
          <w:b/>
        </w:rPr>
        <w:t xml:space="preserve">Quelle: </w:t>
      </w:r>
      <w:r>
        <w:t>https://mcp.opencaselaw.ch/entscheid/ge_gerichte_ACJC_1030_2020</w:t>
      </w:r>
    </w:p>
    <w:p>
      <w:r>
        <w:t>FR: GE_GERICHTE ACJC/1030/2020 du 28 juillet 2020</w:t>
      </w:r>
    </w:p>
    <w:p>
      <w:r>
        <w:t>IT: GE_GERICHTE ACJC/1030/2020 del 28 luglio 2020</w:t>
      </w:r>
    </w:p>
    <w:p>
      <w:pPr>
        <w:pStyle w:val="Heading2"/>
      </w:pPr>
      <w:r>
        <w:t>Erwägungen</w:t>
      </w:r>
    </w:p>
    <w:p>
      <w:r>
        <w:rPr>
          <w:b/>
        </w:rPr>
        <w:t>E. 1</w:t>
      </w:r>
    </w:p>
    <w:p>
      <w:r>
        <w:t>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1.1</w:t>
      </w:r>
    </w:p>
    <w:p>
      <w:r>
        <w:t>L'appel est recevable contre les jugements de mesures protectrices – qui doivent être considérés comme des décisions provisionnelles au sens de l'art. 308 al.</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La Cour revoit la cause avec un plein pouvoir d'examen (art. 310 CPC) dans la limite des griefs suffisamment motivés qui sont formulés (arrêts du Tribunal</w:t>
      </w:r>
    </w:p>
    <w:p>
      <w:r>
        <w:t>- 5/10 -</w:t>
      </w:r>
    </w:p>
    <w:p>
      <w:r>
        <w:t>C/25834/2019 fédéral 4A_290/2014 du 1er septembre 2014 consid. 5; 5A_89/2014 du 15 avril 2014 consid. 5.3.2). La procédure sommaire étant applicable aux mesures protectrices de l'union conjugale,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maxime de disposition (art. 58 al. 1 CPC) est applicable s'agissant de la contribution d'entretien due entre époux (arrêt du Tribunal fédéral 5A_421/2015 du 21 janvier 2016 consid. 6.2.3).</w:t>
      </w:r>
    </w:p>
    <w:p>
      <w:r>
        <w:rPr>
          <w:b/>
        </w:rPr>
        <w:t>E. 3</w:t>
      </w:r>
    </w:p>
    <w:p>
      <w:r>
        <w:t>L'appelant reproche au Tribunal de l'avoir condamné à contribuer à l'entretien de son épouse. Il soutient qu'il ne bénéficie d'aucun solde disponible après avoir couvert les frais d'entretien de ses fils cadets et que l'intimée est en mesure de réaliser un salaire de 5'000 fr. par mois en travaillant à 100%, ce qui lui permettrait de couvrir ses charges. 3.1.1 A la requête des conjoints et si la suspension de la vie commune est fondée, le juge des mesures protectrices fixe la contribution pécuniaire à verser par l'une des parties à l'autre (art. 176 al. 1 ch. 1 CC).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même lorsqu'on ne peut plus sérieusement compter sur la reprise de la vie commune (ATF 138 III 97 consid. 2.2; 137 III 385 consid. 3.1; 130 III 537 consid. 3.2).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du Tribunal fédéral 5A_828/2014 du 25 mars 2015 consid. 3). Quand il n'est pas possible de conserver ce niveau de vie, les époux ont droit à un train de vie semblable (ATF 119 II 314 consid. 4b/aa; arrêt du Tribunal fédéral 5A_823/2014 du 3 février 2015 consid. 5.1 et la référence). 3.1.2 La loi n'impose pas de méthode de calcul particulière pour arrêter le montant de la contribution d'entretien (ATF 140 III 337 consid. 4.2.2; 128 III 411</w:t>
      </w:r>
    </w:p>
    <w:p>
      <w:r>
        <w:t>- 6/10 -</w:t>
      </w:r>
    </w:p>
    <w:p>
      <w:r>
        <w:t>C/25834/2019 consid. 3.2.2);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 29 janvier 2014 consid. 4.1). Elle consiste à évaluer les ressources des époux et à calculer leurs charges, puis à répartir le montant disponible restant à parts égales entre eux, cette égalité étant toutefois relativisée pour prendre en considération, notamment, la participation d'éventuels enfants communs à l'excédent (ATF 126 III 8 consid. 3c et les arrêts cités). Les charges des époux et de leurs enfants mineurs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 maladie) (BASTONS BULLETTI, op. cit., p. 90 et 91). Seules les charges effectives, dont le débirentier s'acquitte réellement, doivent être prises en compte (ATF 121 III 20 consid. 3a; arrêt du Tribunal fédéral 5A_65/2013 du</w:t>
      </w:r>
    </w:p>
    <w:p>
      <w:r>
        <w:rPr>
          <w:b/>
        </w:rPr>
        <w:t>E. 4</w:t>
      </w:r>
    </w:p>
    <w:p>
      <w:r>
        <w:t>septembre 2013 consid. 3.2.1 et les références citées).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3.1.3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(arrêts du Tribunal fédéral 5A_36/2016 du 29 mars 2016 consid. 4.1; 5A_823/2014 du 3 février 2015 consid. 5.4). Les frais d'entretien de l'enfant majeur découlant de l'art. 277 al. 2 CC ne doivent dès lors pas être inclus sans autre considération dans le minimum vital élargi du débirentier (ATF 132 III 209; arrêts du Tribunal fédéral 5A_36/2016 et</w:t>
      </w:r>
    </w:p>
    <w:p>
      <w:r>
        <w:t>- 7/10 -</w:t>
      </w:r>
    </w:p>
    <w:p>
      <w:r>
        <w:t>C/25834/2019 5A_823/2014 précités). Cette jurisprudence vaut également en matière de mesures protectrices (arrêt du Tribunal fédéral 5P.384/2002 du 17 décembre 2002 consid. 2.1). 3.1.4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5A_830/2018 du 21 mars 2018 consid. 3.3.1). Selon la jurisprudence du Tribunal fédéral en matière de divorce,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du Tribunal fédéral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(ATF 137 III 102 consid. 4.2.2.2; arrêts du Tribunal fédéral 5A_6/2009 du 30 avril 2009 consid. 2.2; 5A_76/2009 du 4 mai 2009 consid. 6.2.5).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4.2.1 En l'espèce, la décision du Tribunal d'appliquer la méthode du minimum vital avec répartition de l'excédent pour calculer la contribution d'entretien due entre époux n'est pas critiquable au vu de la situation financière moyenne des parties. 4.2.2 Il n'est pas contesté que l'appelant dispose de revenus mensuels de 8'780 fr. et que ses charges personnelles s'élèvent à 2'449 fr. par mois, incluant l'entretien de base OP (1'200 fr.), le loyer (1'779 fr.) et les frais de transports publics (70 fr.). La décision du Tribunal d'inclure un montant de 1'000 fr. dans le budget de l'appelant pour tenir compte des besoins financiers de D______ n'a pas à être revue. Outre que l'obligation d'entretien de l'épouse l'emporte sur celle de l'enfant majeur, les dépenses que l'appelant allègue assumer pour deux de ses fils n'ont pas été rendues vraisemblables. L'époux s'est en effet limité à produire des attestations</w:t>
      </w:r>
    </w:p>
    <w:p>
      <w:r>
        <w:t>- 8/10 -</w:t>
      </w:r>
    </w:p>
    <w:p>
      <w:r>
        <w:t>C/25834/2019 – non actualisées – faisant état d'un écolage annuel de 28'000 USD pour le cadet des enfants, alors que l'essentiel de cette dépense est déjà pris en charge par son employeur. Au surplus, l'appelant n'a pas produit les justificatifs (relevés bancaires, factures, quittances de paiement, etc.) propres à établir la réalité et la régularité des dépenses qu'il allègue assumer pour ses fils majeurs. La liste des frais établie par ses soins est dépourvue de force probante et, contrairement à ce que plaide l'appelant, il ne ressort pas du dossier que l'intimée aurait admis le principe et la quotité des frais concernés. Il s'ensuit qu'après couverture de ses charges en 3'449 fr., l'époux bénéficie d'un solde disponible de l'ordre de 5'300 fr. 4.2.3 S'il paraît certes souhaitable que l'intimée puisse à l'avenir, dans la mesure du possible, augmenter son taux d'activité afin de maximiser ses revenus, un salaire hypothétique supérieur à celui qu'elle réalise actuellement ne saurait lui être imputé en l'état. Il est en effet établi, à tout le moins au stade de la vraisemblance, que l'épouse n'a "pas vraiment" exercé d'activité lucrative pendant le mariage et qu'elle s'est vouée, dans les faits, à la tenue du ménage et à l'éducation de ses quatre enfants. Ainsi, elle a toujours dépendu de l'entretien financier de l'appelant, celui-ci assumant seul les besoins financiers de la famille, conformément à la convention tacite de répartition des tâches et des ressources adoptée pendant le mariage. A cela s'ajoute que l'intimée, qui était âgée de 54 ans lors de la séparation, est parvenue à trouver et à conserver un emploi à temps partiel, ce qui démontre qu'elle a fait le nécessaire pour mettre sa capacité de gains à profit de façon à assumer une partie de ses charges. Partant, c'est avec raison que le Tribunal a considéré que l'on ne pouvait raisonnablement attendre de l'épouse, à tout le moins au stade des mesures protectrices, qu'elle devienne autonome financièrement en travaillant à 100%. Il suit de là qu'au vu de son revenu mensuel (env. 1'370 fr.) et de ses charges (2'785 fr.), l'intimée fait face à un déficit de l'ordre de 1'415 fr. par mois. 4.2.4 Compte tenu des revenus (8'780 fr. + 1'370 fr.) et des minima vitaux élargis (3'449 fr. + 2'785 fr.) des parties, l'excédent à répartir entre celles-ci s'élève à quelque 3'900 fr. En fixant la contribution d'entretien de l'intimée à 3'350 fr. par mois, le Tribunal a réparti l'excédent par moitié entre chaque conjoint. 4.2.5 Au vu de ce qui précède, le premier juge a correctement fixé la contribution d'entretien due par l'appelant à l'intimée. Par conséquent, le chiffre 4 du dispositif du jugement attaqué sera confirmé, le dies a quo de la contribution n'étant pas remis en cause en appel.</w:t>
      </w:r>
    </w:p>
    <w:p>
      <w:r>
        <w:t>- 9/10 -</w:t>
      </w:r>
    </w:p>
    <w:p>
      <w:r>
        <w:t>C/25834/2019</w:t>
      </w:r>
    </w:p>
    <w:p>
      <w:r>
        <w:rPr>
          <w:b/>
        </w:rPr>
        <w:t>E. 5</w:t>
      </w:r>
    </w:p>
    <w:p>
      <w:r>
        <w:t>Les frais judiciaires d'appel seront fixés 800 fr. (art. 31 et 37 RTFMC), mis à la charge de l'appelant qui succombe (art. 116 al. 1 CPC) et compensés avec l'avance versée par celui-ci, laquelle reste acquise à l'Etat de Genève (art. 111 al. 2 CPC). Au vu de la nature familiale du litige, chacune des parties supportera ses propres dépens d'appel (art. 107 al. 1 let. c CPC).</w:t>
      </w:r>
    </w:p>
    <w:p>
      <w:r>
        <w:rPr>
          <w:b/>
        </w:rPr>
        <w:t>E. 6</w:t>
      </w:r>
    </w:p>
    <w:p>
      <w:r>
        <w:t>Le présent arrêt, qui statue sur mesures provisionnelles, est susceptible d'un recours en matière civile, les moyens étant limités en application de l'art. 98 LTF. * * * * *</w:t>
      </w:r>
    </w:p>
    <w:p>
      <w:r>
        <w:t>- 10/10 -</w:t>
      </w:r>
    </w:p>
    <w:p>
      <w:r>
        <w:t>C/25834/2019 PAR CES MOTIFS, La Chambre civile : A la forme : Déclare recevable l'appel interjeté le 23 mars 2020 par A______ contre le chiffre 4 du dispositif du jugement JTPI/3913/2020 rendu le 10 mars 2020 par le Tribunal de première instance dans la cause C/25834/2019-13. Au fond : Confirme ce jugement. Déboute les parties de toutes autres conclusions. Sur les frais : Arrête les frais judiciaires d'appel à 800 fr., les met à la charge de A______ et les compense avec l'avance versée, qui reste acquise à l'Etat de Genève. Dit que chaque partie supporte ses propres dépens d'appel. Siégeant : Monsieur Ivo BUETTI, président; Madame Nathalie RAPP et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