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ACJC/1025/2023 vom 10. August 2023</w:t>
      </w:r>
    </w:p>
    <w:p>
      <w:r>
        <w:t>GE Cour de justice, 2023-08-10, FR</w:t>
      </w:r>
    </w:p>
    <w:p>
      <w:r>
        <w:rPr>
          <w:b/>
        </w:rPr>
        <w:t xml:space="preserve">Quelle: </w:t>
      </w:r>
      <w:r>
        <w:t>https://mcp.opencaselaw.ch/entscheid/ge_gerichte_ACJC_1025_2023</w:t>
      </w:r>
    </w:p>
    <w:p>
      <w:r>
        <w:t>FR: GE_GERICHTE ACJC/1025/2023 du 10 août 2023</w:t>
      </w:r>
    </w:p>
    <w:p>
      <w:r>
        <w:t>IT: GE_GERICHTE ACJC/1025/2023 del 10 agosto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 TAPPY, CR CPC, 2019, n. 64 ad art. 91 CPC ; BASTONS BULLETTI, PC CPC, 2020, n. 6 ad art. 308 CPC). En l'espèce, compte tenu des montants des contributions d'entretien contestés devant la Cour, la valeur litigieuse de 10'000 fr. est atteinte (art. 92 al. 2 CPC), de sorte que la voie de l'appel est ouverte.</w:t>
      </w:r>
    </w:p>
    <w:p>
      <w:r>
        <w:rPr>
          <w:b/>
        </w:rPr>
        <w:t>E. 1.2</w:t>
      </w:r>
    </w:p>
    <w:p>
      <w:r>
        <w:t>Déposé en temps utile et dans la forme prescrite par la loi (art. 130, 131, 142 al. 1, 143 al. 1 et 314 al. 1 CPC), l'appel est recevable. Il en va de même de la réponse de l’intimée (art. 314 al. 1 CPC).</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w:t>
      </w:r>
    </w:p>
    <w:p>
      <w:r>
        <w:t>- 8/14 -</w:t>
      </w:r>
    </w:p>
    <w:p>
      <w:r>
        <w:t>C/2114/2021 pouvait admettre les faits qu'il a retenus (ATF 142 III 413 consid. 2.2.4 ;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1.5</w:t>
      </w:r>
    </w:p>
    <w:p>
      <w:r>
        <w:t>La présente cause est soumise aux maximes d'office et inquisitoire illimitée dès lors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En tant qu'elle porte sur la contribution d'entretien en faveur de l'épouse, la procédure est soumise aux maximes inquisitoire (art. 272 CPC) et de disposition (art. 58 al. 1 CPC).</w:t>
      </w:r>
    </w:p>
    <w:p>
      <w:r>
        <w:rPr>
          <w:b/>
        </w:rPr>
        <w:t>E. 2</w:t>
      </w:r>
    </w:p>
    <w:p>
      <w:r>
        <w:t>L’intimée a produit des pièces nouvelles en appel.</w:t>
      </w:r>
    </w:p>
    <w:p>
      <w:r>
        <w:rPr>
          <w:b/>
        </w:rPr>
        <w:t>E. 2.1</w:t>
      </w:r>
    </w:p>
    <w:p>
      <w:r>
        <w:t>Selon l'art. 317 al. 1 CPC, les faits et les moyens de preuve nouveaux ne sont pris en considération en appel que s'ils sont invoqués ou produits sans retard (let. a) et avec la diligence requise (let. b).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2.2</w:t>
      </w:r>
    </w:p>
    <w:p>
      <w:r>
        <w:t>En l'espèce, les nouvelles pièces produites par l’intimée devant la Cour sont recevables, ainsi que les faits qui s'y rapportent, dès lors qu'elles sont en relation avec des questions touchant les enfants mineurs et ont été déposées avant que la Cour n'informe les parties de ce que la cause était gardée à juger.</w:t>
      </w:r>
    </w:p>
    <w:p>
      <w:r>
        <w:t>- 9/14 -</w:t>
      </w:r>
    </w:p>
    <w:p>
      <w:r>
        <w:t>C/2114/2021</w:t>
      </w:r>
    </w:p>
    <w:p>
      <w:r>
        <w:rPr>
          <w:b/>
        </w:rPr>
        <w:t>E. 3</w:t>
      </w:r>
    </w:p>
    <w:p>
      <w:r>
        <w:t>L’appelant reproche au Tribunal de ne pas avoir écarté la pièce 38 déposée par l’intimée.</w:t>
      </w:r>
    </w:p>
    <w:p>
      <w:r>
        <w:rPr>
          <w:b/>
        </w:rPr>
        <w:t>E. 3.1</w:t>
      </w:r>
    </w:p>
    <w:p>
      <w:r>
        <w:t>Aux termes de l'art. 152 al. 2 CPC, le tribunal ne prend en considération les moyens de preuve obtenus de manière illicite que si l'intérêt à la manifestation de la vérité est prépondérant. Il n'appartient pas à celui qui l’a produit de démontrer la licéité de l'obtention dudit moyen de preuve mais à celui qui invoque l’illicéité d’en apporter la preuve (arrêt du Tribunal fédéral 5A_643/2020 du 11 septembre 2020 consid. 4.3.2).</w:t>
      </w:r>
    </w:p>
    <w:p>
      <w:r>
        <w:rPr>
          <w:b/>
        </w:rPr>
        <w:t>E. 3.2</w:t>
      </w:r>
    </w:p>
    <w:p>
      <w:r>
        <w:t>En l’espèce, l'appelant fonde le caractère illicite de la pièce 38 déposée par l'intimée sur la supposition que cette dernière l’aurait prétendument obtenue à la suite du cambriolage de son lieu de travail, puisque ladite pièce était adressée à son domicile professionnel. Il ne s'agit néanmoins que d'une hypothèse, que l’appelant n’a pas rendu vraisemblable. Par conséquent, c’est à juste titre que le premier juge a considéré la pièce 38 déposée par l’intimée comme licite, et partant recevable.</w:t>
      </w:r>
    </w:p>
    <w:p>
      <w:r>
        <w:rPr>
          <w:b/>
        </w:rPr>
        <w:t>E. 4</w:t>
      </w:r>
    </w:p>
    <w:p>
      <w:r>
        <w:t>La cause présente un élément d'extranéité en raison de la nationalité étrangère de l'intimée et de la procédure de divorce pendante devant les autorités tunisiennes. Les parties ne contestent, à juste titre, pas la compétence des autorités judiciaires genevoises (art. 10 LDIP ; art. 5 al. 1 CLaH96) ni l'application du droit suisse (art. 62, 83 et 85 LDIP; art. 15 al. 1 CLaH96, art. 4 de la Convention de La Haye du 2 octobre 1973 sur la loi applicable aux obligations alimentaires) au présent litige.</w:t>
      </w:r>
    </w:p>
    <w:p>
      <w:r>
        <w:rPr>
          <w:b/>
        </w:rPr>
        <w:t>E. 5</w:t>
      </w:r>
    </w:p>
    <w:p>
      <w:r>
        <w:t>L’appelant reproche au Tribunal d’avoir surestimé ses revenus et de ne pas avoir imputé de revenu hypothétique à l’intimée.</w:t>
      </w:r>
    </w:p>
    <w:p>
      <w:r>
        <w:t>5.1.1 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5.1.2 Le principe et le montant de la contribution d'entretien due au conjoint selon l'art. 176 al. 1 ch. 1 CC se déterminent en fonction des facultés économiques et des besoins respectifs des époux. Même lorsqu'on ne peut plus sérieusement compter sur la reprise de la vie commune, l'art. 163 CC demeure la cause de l'obligation d'entretien réciproque</w:t>
      </w:r>
    </w:p>
    <w:p>
      <w:r>
        <w:t>- 10/14 -</w:t>
      </w:r>
    </w:p>
    <w:p>
      <w:r>
        <w:t>C/2114/2021 des époux en mesures protectrices de l'union conjugale, comme il l'est aussi en mesures provisionnelles prononcées pour la durée de la procédure de divorce (ATF 137 III 385 consid. 3.1; arrêt du Tribunal fédéral 5A_954/2017 du 29 janvier 2018 consid. 6.2). 5.1.3 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 La contribution de prise en charge vise à compenser la perte ou la réduction de capacité de gain du parent qui s'occupe de l'enfant (ATF 144 III 377 consid. 7.1.2.2). 5.1.4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 fixation de la contribution d'entretien relève de l'appréciation du juge, qui jouit d'un large pouvoir d'appréciation et applique les règles du droit et de l'équité (art. 4 CC; ATF 140 III 337 consid. 4.2.2; 134 III 577 consid. 4; 128 III 411 consid. 3.2.2).</w:t>
      </w:r>
    </w:p>
    <w:p>
      <w:r>
        <w:t>- 11/14 -</w:t>
      </w:r>
    </w:p>
    <w:p>
      <w:r>
        <w:t>C/2114/2021 Dans tous les cas, le minimum vital du droit des poursuites du débirentier doit être préservé (ATF 147 III 265 précité consid. 7.3; arrêt du Tribunal fédéral 5A_450/2020 du 4 janvier 2021 consid. 5.3). 5.1.5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 arrêt du Tribunal fédéral 5A_565/2022 du 27 avril 2023 consid. 3.1.1.2 et les arrêts cités).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Peuvent également jouer un rôle des critères tels que le nombre d'enfants à charge ou les soins particuliers qu'ils exigent, en raison par exemple d'un handicap ou d'une maladie chronique (arrêt du Tribunal fédéral 5C.139/2005 du 28 juillet 2005 consid. 2.2 in FamPra.ch 2005 p. 895; BASTONS BULLETTI, L'entretien après le divorce: Méthodes de calcul, montant, durée et limites, in SJ 2007 II 77, p. 96). 5.1.6 Dans le calcul des besoins, le point de départ est le minimum vital du droit des poursuites, comprenant l'entretien de base selon les normes d'insaisissabilité (NI 2022,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w:t>
      </w:r>
    </w:p>
    <w:p>
      <w:r>
        <w:t>- 12/14 -</w:t>
      </w:r>
    </w:p>
    <w:p>
      <w:r>
        <w:t>C/2114/2021 compte, notamment, d'une part d'impôts, de la participation aux frais de logement effectifs supérieurs aux frais raisonnables de logement et des primes d'assurance- 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La prise en compte de postes tels que les voyages ou les loisirs dans les charges de l'enfant équivaudrait à un mélange non admissible avec la méthode concrète en une étape (arrêt du Tribunal fédéral 5A_712/2021 consid. 6.1.2.2). 5.2.1 En l'espèce, la méthode de calcul suivie par le premier juge n'est pas contestée et est conforme aux principes jurisprudentiels rappelés ci-dessus. 5.2.2 L’appelant reproche au Tribunal de ne pas avoir imputé de revenu hypothétique à son épouse. Il se limite à faire valoir que cette dernière doit pouvoir trouver un emploi dès lors qu’elle n’a pas de problème de santé et qu’elle est âgée de 46 ans. Il ne conteste toutefois pas le jugement en tant qu’il a retenu, à juste titre, qu’il ne pouvait pas être exigé de l’intimée qu’elle retrouve actuellement un emploi, ne fusse qu’à temps partiel, que l’intimée doit être pleinement disponible pour assurer l’encadrement des trois enfants, dont certains présentent des difficultés importantes de comportement. 5.2.3 L’appelant reproche également au premier juge de ne pas avoir tenu compte du fait que B______ SA n’avait réalisé qu’un bénéfice de 1'782 fr. en 2021 et que les deux autres sociétés étaient inactives depuis plusieurs années. Contrairement à ce que plaide l’appelant, l’activité de B______ SA n’est pas actuellement à la baisse. Si l’activité de la société a diminué en 2020 – vraisemblablement à cause de la pandémie – ce que prouve son chiffre d’affaires qui a baissé cette année-là, cette situation n’a été que passagère. En effet, en 2021 le chiffre d’affaires de B______ SA (2'125'301 fr.) a retrouvé son niveau de 2019 (1'892'629 fr.). En outre, la charge de personnel, d'environ 1 million de francs, n’a pas varié entre 2019 – où l’appelant admet qu'il se versait un salaire mensuel brut de 12'000 fr. – et les années subséquentes, où l’appelant prétend avoir divisé son salaire par trois. L’appelant n’a pas produit de contrat de travail et ses fiches de salaire ont été établies de sa main de sorte qu’elles n’ont pas de valeur probante ; ce que le premier juge a relevé et que l'appelant n'a pas contesté en appel, étant précisé qu’on ignore quels documents ont été remis à la société fiduciaire pour l’établissement des comptes annuels. C’est donc à juste titre que le premier juge s’est fondé sur le seul document ayant force probante, à savoir la déclaration d’impôts de 2018 établie avant la séparation des parties, étant retenu que la situation financière actuelle de l’entreprise – donc le bénéfice reporté, qui a absorbé les mauvais résultats des années 2020 et 2021, est encore d’environ</w:t>
      </w:r>
    </w:p>
    <w:p>
      <w:r>
        <w:t>- 13/14 -</w:t>
      </w:r>
    </w:p>
    <w:p>
      <w:r>
        <w:t>C/2114/2021 1,4 millions de francs – peut être comparée à celle prévalant avant la pandémie. En outre, il est vraisemblable qu’en 2018, les sociétés B______/2______ Sàrl et K______ Sàrl ne dégageaient déjà aucun, ou un très faible, bénéfice, de sorte que de tels revenus n'entraient pas dans la taxation 2018. Par ailleurs, l’appelant n’a pas prouvé être en incapacité de travail, ses seules déclarations et la prise de médicaments étant insuffisantes à prouver un tel fait. Compte tenu de ce qui précède, c’est à juste titre que le premier juge a retenu que le revenu mensuel net de l’appelant pouvait être arrêté à 11'440 fr. Ses revenus étant suffisants pour couvrir les besoins de sa famille, il n'est pas nécessaire d’examiner si la fortune personnelle de l'appelant doit être mise à contribution.</w:t>
      </w:r>
    </w:p>
    <w:p>
      <w:r>
        <w:rPr>
          <w:b/>
        </w:rPr>
        <w:t>E. 5.3</w:t>
      </w:r>
    </w:p>
    <w:p>
      <w:r>
        <w:t>Compte tenu de ce qui précède, et du fait que l’appelant n’a pas critiqué les charges retenues par le premier juge pour les membres de la famille, étant relevé que la prise en compte de 40% du loyer maternel pour trois enfants n'est pas critiquable (ACJC/275/2023 du 23 février 2023 consid. 3.1.4, ACJC/1679/2022 du 20 décembre 2022 consid. 8.1.4 et les arrêts cantonaux cités ; BASTONS BULLETTI, L'entretien après le divorce: Méthodes de calcul, montant, durée et limites, in SJ 2007 II 77, p. 102), ni la manière dont l’excédent a été partagé, la décision querellée sera confirmée.</w:t>
      </w:r>
    </w:p>
    <w:p>
      <w:r>
        <w:rPr>
          <w:b/>
        </w:rPr>
        <w:t>E. 6</w:t>
      </w:r>
    </w:p>
    <w:p>
      <w:r>
        <w:t>Les frais judiciaires d'appel, comprenant les frais relatifs à la décision rendue sur effet suspensif, seront fixés à 1’200 fr. (art. 31 et 37 RTFMC) et mis à la charge de l’appelant qui succombe (art. 106 al. 1 CPC). Ils sont couverts par l'avance de frais opérée, laquelle demeure intégralement acquise à l'Etat de Genève (art. 111 al. 1 CPC). Compte tenu de la nature familiale du litige, chaque partie supportera ses propres dépens d’appel (art. 107 al. 1 let. c CPC). * * * * *</w:t>
      </w:r>
    </w:p>
    <w:p>
      <w:r>
        <w:t>- 14/14 -</w:t>
      </w:r>
    </w:p>
    <w:p>
      <w:r>
        <w:t>C/2114/2021 PAR CES MOTIFS, La Chambre civile : A la forme : Déclare recevable l'appel interjeté le 9 mars 2023 par A______ contre le jugement JTPI/2497/2023 rendu le 23 février 2023 par le Tribunal de première instance dans la cause C/2114/2021. Au fond : Confirme ce jugement. Déboute les parties de toutes autres conclusions. Sur les frais : Arrête les frais judiciaires d'appel à 1’200 fr., les met à la charge de A______ et les compense avec l'avance de même montant fournie par ce dernier, laquelle demeure acquise à l'Etat de Genève.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