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ACJC/1023/2022 vom 11. August 2022</w:t>
      </w:r>
    </w:p>
    <w:p>
      <w:r>
        <w:t>GE Cour de justice, 2022-08-11, FR</w:t>
      </w:r>
    </w:p>
    <w:p>
      <w:r>
        <w:rPr>
          <w:b/>
        </w:rPr>
        <w:t xml:space="preserve">Quelle: </w:t>
      </w:r>
      <w:r>
        <w:t>https://mcp.opencaselaw.ch/entscheid/ge_gerichte_ACJC_1023_2022</w:t>
      </w:r>
    </w:p>
    <w:p>
      <w:r>
        <w:t>FR: GE_GERICHTE ACJC/1023/2022 du 11 août 2022</w:t>
      </w:r>
    </w:p>
    <w:p>
      <w:r>
        <w:t>IT: GE_GERICHTE ACJC/1023/2022 del 11 agosto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sur les droits parentaux ainsi que sur le montant des contributions d'entretien : par attraction, l'ensemble du litige est ainsi de nature non pécuniaire (arrêts du Tribunal fédéral 5A_277/2021 du 30 novembre 2021 consid. 1; 5A_669/2020 du 25 mars 2021 consid. 1).</w:t>
      </w:r>
    </w:p>
    <w:p>
      <w:r>
        <w:rPr>
          <w:b/>
        </w:rPr>
        <w:t>E. 1.2</w:t>
      </w:r>
    </w:p>
    <w:p>
      <w:r>
        <w:t>Interjeté dans le délai et selon la forme prescrits par la loi (art. 130, 131 et 311 al. 1 CPC), l'appel est par conséquent recevable.</w:t>
      </w:r>
    </w:p>
    <w:p>
      <w:r>
        <w:rPr>
          <w:b/>
        </w:rPr>
        <w:t>E. 1.3</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w:t>
      </w:r>
    </w:p>
    <w:p>
      <w:r>
        <w:t>- 12/25 -</w:t>
      </w:r>
    </w:p>
    <w:p>
      <w:r>
        <w:t>C/6424/2020 consid. 2.2.4; arrêt du Tribunal fédéral 5A_111/2016 du 6 septembre 2016 consid. 5.3).</w:t>
      </w:r>
    </w:p>
    <w:p>
      <w:r>
        <w:rPr>
          <w:b/>
        </w:rPr>
        <w:t>E. 1.4</w:t>
      </w:r>
    </w:p>
    <w:p>
      <w:r>
        <w:t>La présente cause est soumise aux maximes d'office et inquisitoire illimitée en tant qu'elle concerne la contribution d'entretien due à un enfant mineur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w:t>
      </w:r>
    </w:p>
    <w:p>
      <w:r>
        <w:rPr>
          <w:b/>
        </w:rPr>
        <w:t>E. 1.5</w:t>
      </w:r>
    </w:p>
    <w:p>
      <w:r>
        <w:t>Avec raison, les parties ne contestent pas la compétence des juridictions genevoises pour connaître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w:t>
      </w:r>
    </w:p>
    <w:p>
      <w:r>
        <w:rPr>
          <w:b/>
        </w:rPr>
        <w:t>E. 2</w:t>
      </w:r>
    </w:p>
    <w:p>
      <w:r>
        <w:t>Les parties ont allégué des faits nouveaux et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ACJC/280/2018 du 6 mars 2018 consid. 2.1).</w:t>
      </w:r>
    </w:p>
    <w:p>
      <w:r>
        <w:rPr>
          <w:b/>
        </w:rPr>
        <w:t>E. 2.2</w:t>
      </w:r>
    </w:p>
    <w:p>
      <w:r>
        <w:t>En l'espèce, dès lors que les faits allégués et les pièces produites concernent directement ou indirectement la situation de l'enfant F______, qui est encore mineur, ils sont recevables.</w:t>
      </w:r>
    </w:p>
    <w:p>
      <w:r>
        <w:rPr>
          <w:b/>
        </w:rPr>
        <w:t>E. 3</w:t>
      </w:r>
    </w:p>
    <w:p>
      <w:r>
        <w:t>L'appelant fait grief au Tribunal d'avoir attribué l'autorité parentale exclusive sur l'enfant F______ à l'intimée. 3.1.1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w:t>
      </w:r>
    </w:p>
    <w:p>
      <w:r>
        <w:t>- 13/25 -</w:t>
      </w:r>
    </w:p>
    <w:p>
      <w:r>
        <w:t>C/6424/2020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 Il incombe au parent qui s'oppose à l'autorité parentale conjointe de démontrer le bien-fondé de sa position (arrêt du Tribunal fédéral 5A_985/2014 du 25 juin 2015 consid. 3.1.1). 3.1.2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w:t>
      </w:r>
    </w:p>
    <w:p>
      <w:r>
        <w:t>- 14/25 -</w:t>
      </w:r>
    </w:p>
    <w:p>
      <w:r>
        <w:t>C/6424/2020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3.2</w:t>
      </w:r>
    </w:p>
    <w:p>
      <w:r>
        <w:t>En l'espèce, il n'est pas contesté que la séparation des parties a été très conflictuelle. Il est en outre établi que, par la suite, le père n'était pas très collaborant avec les divers professionnels ayant entouré l'enfant F______ et que la communication entre les parties était difficile, voire inexistante. A teneur du rapport du SEASP du 23 octobre 2020, cette situation a perduré, dans une certaine mesure, suite à la mise en place, sur mesures protectrices de l'union conjugale, de la garde alternée. Cela étant, il apparaît que le conflit parental s'est apaisé durant la procédure en divorce, les parties étant parvenues à s'accorder sur divers points, dans l'intérêt de leur fils, soit notamment en s'engageant à ne plus communiquer par le biais de l'enfant – le père ayant sorti la mère de ses courriels indésirables afin de permettre les échanges –, et en mettant en place un suivi thérapeutique pour l'enfant, une mesure AEMO, une médiation et un travail de coparentalité. Par ailleurs, les parents se sont également accordés sur la restitution et le renouvellement des papiers d'identité de l'enfant, la levée de l'inscription de l'enfant dans le système RIPOL-SIS et ont trouvé une solution, en collaboration avec l'école, pour l'organisation de la prise en charge de l'enfant au parascolaire compte tenu de la garde alternée les vendredis. Elles sont encore parvenues à communiquer plus sereinement entres elles selon les échanges produits par le père. En outre, il y a lieu de relever que la mère avait conclu dans sa demande en divorce au maintien de l'autorité parentale conjointe sur l'enfant. Il apparaît ainsi que le conflit parental n'est pas aussi significatif et durable pour justifier une attribution exclusive de l'autorité parentale en faveur de l'intimée. Bien qu'il demeure encore quelques tensions et désaccords lors des échanges entre les parties, dites tensions sont ponctuelles et ne paraissent pas exercer une influence négative sur l'enfant. En effet, il ressort du rapport du SEASP précité, soit en particulier des propos du pédiatre et de l'enseignante, que l'enfant se porte bien, qu'il se montre à l'aise socialement tant avec les autres enfants qu'avec les adultes et qu'il a de très bonnes capacités d'apprentissage. Nonobstant l'anxiété de F______ constatée par l'enseignante à une reprise s'agissant de sa prise en charge à midi, force est de constater que c'est davantage l'instabilité de la situation qui s'avérait être anxiogène pour l'enfant que le conflit parental en tant que tel. Par ailleurs, le fait que les parents ne se soient pas accordés quant au saut de classe de F______ n'a pas été relevé par l'enseignante dans le cadre du rapport du SEASP comme ayant eu un impact négatif sur l'enfant, étant relevé que le père ne s'y</w:t>
      </w:r>
    </w:p>
    <w:p>
      <w:r>
        <w:t>- 15/25 -</w:t>
      </w:r>
    </w:p>
    <w:p>
      <w:r>
        <w:t>C/6424/2020 oppose pas sur le principe. Enfin, s'agissant de la décision de circoncision de l'enfant, il y a lieu de relever que les parents sont d'accord sur son exécution et que seul le lieu où elle sera pratiquée est litigieux, de sorte que ce détail ne devrait pas avoir d'impact négatif sur le développement de l'enfant. Enfin, rien n'indique que l'attribution de l'autorité parentale exclusive ou la limitation de celle-ci sur certains points permettrait une amélioration de la situation, laquelle semble déjà être sur la bonne voie. Il apparaît ainsi préférable de saluer les efforts fournis par les parties et de les encourager à poursuivre dans cette direction. Compte tenu de ce qui précède, il ne se justifie pas d'attribuer l'autorité parentale exclusive à l'intimée, ni de limiter l'autorité parentale des parties. Par conséquent, le chiffre 2 du dispositif du jugement entrepris sera réformé dans le sens qui précède.</w:t>
      </w:r>
    </w:p>
    <w:p>
      <w:r>
        <w:rPr>
          <w:b/>
        </w:rPr>
        <w:t>E. 4</w:t>
      </w:r>
    </w:p>
    <w:p>
      <w:r>
        <w:t>L'appelant conteste la modification de la garde de l'enfant F______ ordonnée par le Tribunal.</w:t>
      </w:r>
    </w:p>
    <w:p>
      <w:r>
        <w:rPr>
          <w:b/>
        </w:rPr>
        <w:t>E. 4.1</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w:t>
      </w:r>
    </w:p>
    <w:p>
      <w:r>
        <w:t>- 16/25 -</w:t>
      </w:r>
    </w:p>
    <w:p>
      <w:r>
        <w:t>C/6424/2020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5A_682/2020 du 21 juin 2021 consid. 2.1; 5A_844/2019 du 17 septembre 2020 consid. 3.2.2).</w:t>
      </w:r>
    </w:p>
    <w:p>
      <w:r>
        <w:rPr>
          <w:b/>
        </w:rPr>
        <w:t>E. 4.2</w:t>
      </w:r>
    </w:p>
    <w:p>
      <w:r>
        <w:t>En l'espèce, suite au départ de l'intimée du domicile conjugal en mars 2018, F______ a été pris en charge exclusivement par son père pendant près d'une année avant l'instauration, sur mesures protectrices de l'union conjugale, d'une garde alternée au mois de février 2019. Celle-ci s'exerce ainsi depuis plus de trois ans et il apparaît, à la lecture du dossier, que l'enfant s'est adapté à ce rythme et qu'il se porte bien, nonobstant le conflit parental, lequel s'est toutefois apaisé durant la procédure de divorce (cf. consid. 3.2 supra). Les dernières disputes intervenues entre les parents ne suffisent pas à retenir que le conflit parental s'est envenimé au point de nécessiter une modification de la prise en charge de l'enfant F______. En effet, il apparaît que les parties sont parvenues, durant la procédure de divorce, grâce aux différentes aides mises en place (i.e. médiation, AEMO et travail de coparentalité), à se transmettre diverses informations, notamment sur l'état de santé de l'enfant et son développement (i.e. perte de la première dent et renouvellement des pièces d'identité) et à mieux communiquer entre elles, notamment sur l'adaptation des modalités de garde en fonction des différents impératifs des parties. Elles ont également réussi à s'organiser, en collaboration avec l'école, pour la prise en charge de l'enfant par le parascolaire les vendredis, compte tenu de l'alternance prévue entre les parents ce jour-là de la semaine. Par ailleurs, il n'est pas contesté que l'enfant entretient des contacts étroits et fréquents avec sa grand-mère paternelle, rapports qui seraient réduits suite à une attribution de la garde exclusive à l'intimée, ce qui serait préjudiciable à l'équilibre de l'enfant. En outre, il n'est pas établi, contrairement à ce que prétend l'intimée, que sa prise en charge, lorsqu'il est auprès de son père, est assurée entièrement par la mère de ce dernier, ni que l'enfant serait logé la plupart du temps à J______ (VD), au domicile de l'une des tantes paternelles.</w:t>
      </w:r>
    </w:p>
    <w:p>
      <w:r>
        <w:t>- 17/25 -</w:t>
      </w:r>
    </w:p>
    <w:p>
      <w:r>
        <w:t>C/6424/2020 Pour le surplus, les autres critères (lieu de situation des logements respectifs des parents, âge de l'enfant, etc.) nécessaires au bon déroulement d'une garde alternée ne sont pas remis en cause. Il ne se justifie dès lors pas de modifier la garde alternée telle qu'instaurée dans le jugement JTPI/1668/2019 du 1er février 2019 et exercée depuis lors. En revanche, il convient de modifier le domicile légal de l'enfant et de le fixer auprès de l'intimée, celle-ci recevant déjà les allocations familiales pour l'enfant et disposant de plus de capacités de collaboration avec l'autre parent. Les chiffres 3 et 4 du dispositif du jugement entrepris seront réformés dans le sens qui précède.</w:t>
      </w:r>
    </w:p>
    <w:p>
      <w:r>
        <w:rPr>
          <w:b/>
        </w:rPr>
        <w:t>E. 5</w:t>
      </w:r>
    </w:p>
    <w:p>
      <w:r>
        <w:t>L'appelant conteste la contribution à l'entretien de l'enfant à laquelle il a été condamné. Il soutient que la situation financière des parties n'ayant pas changé depuis le prononcé des mesures protectrices de l'union conjugale, il n'y a pas lieu, en cas de maintien de la garde alternée, de le condamner à verser une contribution à l'entretien de l'enfant F______. 5.1.1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w:t>
      </w:r>
    </w:p>
    <w:p>
      <w:r>
        <w:t>- 18/25 -</w:t>
      </w:r>
    </w:p>
    <w:p>
      <w:r>
        <w:t>C/6424/2020 consid. 4.1; 135 II consid. 3.2; arrêt du Tribunal fédéral 5A_931/2017 du 1er novembre 2018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ou, si les moyens le permettent, le minimum vital du droit de la famille de chaque partie (ATF 147 III 265 consid. 7.1). 5.1.2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w:t>
      </w:r>
    </w:p>
    <w:p>
      <w:r>
        <w:rPr>
          <w:b/>
        </w:rPr>
        <w:t>E. 5.2</w:t>
      </w:r>
    </w:p>
    <w:p>
      <w:r>
        <w:t>En l'espèce, il y a lieu de réexaminer les revenus et charges des différents membres de la famille à la lumière des griefs soulevés, en tenant notamment compte des principes dégagés dans la jurisprudence récente du Tribunal fédéral.</w:t>
      </w:r>
    </w:p>
    <w:p>
      <w:r>
        <w:rPr>
          <w:b/>
        </w:rPr>
        <w:t>E. 5.2.1</w:t>
      </w:r>
    </w:p>
    <w:p>
      <w:r>
        <w:t>L'appelant conteste le revenu hypothétique qui lui a été imputé, tant dans son principe que son montant. A ce propos, il y a lieu de relever qu'il est âgé de 45 ans et ne démontre pas qu'il serait limité dans sa capacité de travail en raison d'un problème de santé particulier. Il a en outre déclaré qu'il était à la recherche d'un emploi dans tous les domaines, notamment celui de la vente. Nonobstant la garde alternée exercée sur l'enfant F______, âgé de 6 ans, il peut raisonnablement être exigé de l'appelant qu'il exerce une activité lucrative à temps plein compte tenu du fait que l'enfant fréquente le parascolaire et qu'il est également pris en charge une partie du temps par sa grand-mère paternelle avec laquelle l'appelant vit. Ainsi, contrairement à l'intimée, l'appelant dispose d'une facilité d'organisation de la garde de l'enfant qui permet d'exiger de lui qu'il exerce une activité lucrative à plein temps. Selon le calculateur national de salaire, disponible en ligne, (https://entsendung.admin.ch/Lohnrechner/lohnberechnung), le salaire brut médian à Genève pour une personne de 45 ans, sans formation, sans fonction de cadre, ni année de service, à temps plein (40h hebdomadaire) est de 4'110 fr. par mois dans le secteur de l'hébergement et la restauration, à savoir pour le personnel des services directs aux particuliers, tel les aides de cuisine, ou de 4'580 fr. par mois dans le secteur du commerce de détail, soit les commerçants et vendeurs. Ce salaire est conforme au salaire minimum genevois de 23 fr. 27 bruts de l'heure (cf. art. 39K al. 1 LIRT (RSGE J 1 05) et art. 1 ArSMC-2022 (RSGE J 1 05.03)). Après déduction de 12% de charges sociales, les salaires précités peuvent être arrêtés à 3'615 fr. respectivement 4'030 fr. nets par mois, soit en moyenne 3'800 fr. nets par mois. C'est dès lors à tort que le premier juge n'a retenu qu'un montant de 3'500 fr. à titre de revenu hypothétique de l'appelant. S'agissant de la possibilité effective de trouver rapidement un emploi et de la situation actuelle du marché du travail, bien que l'appelant ait produit quelques lettres de postulation et de refus entre les mois de février et mai 2020, il n'en a produit aucune pour l'année 2021 ou 2022. Il n'est ainsi pas établi que le marché de l'emploi à Genève, dans les domaines précités, est saturé et que l'appelant ne serait pas en mesure de retrouver un emploi à brève échéance.</w:t>
      </w:r>
    </w:p>
    <w:p>
      <w:r>
        <w:t>- 21/25 -</w:t>
      </w:r>
    </w:p>
    <w:p>
      <w:r>
        <w:t>C/6424/2020</w:t>
      </w:r>
    </w:p>
    <w:p>
      <w:r>
        <w:rPr>
          <w:b/>
        </w:rPr>
        <w:t>E. 5.2.2</w:t>
      </w:r>
    </w:p>
    <w:p>
      <w:r>
        <w:t>Concernant les revenus de l'intimée, celle-ci est à la recherche d'un emploi dans l'administration. Elle admet ainsi qu'elle est en mesure d'exercer une activité lucrative. Par ailleurs, F______ fréquente le parascolaire et l'intimée exerce une garde alternée sur lui avec l'appelant. Cela étant, l'intimée ne dispose pas, contrairement à l'appelant, de l'aide de sa famille pour assurer une partie de la prise en charge de l'enfant. Compte tenu en outre de l'âge de ce dernier, une activité lucrative à 80% peut ainsi raisonnablement être exigée d'elle dans le domaine de l'administration. Selon le calculateur national de salaire, disponible en ligne, (https://entsendung.admin.ch/Lohnrechner/lohnberechnung), le salaire brut médian à Genève pour une personne de 37 ans, sans formation, sans fonction de cadre, ni année de service, à 80% (32h hebdomadaire) est de 3'700 fr. bruts par mois dans le secteur des activités de services administratifs et de soutien, à savoir pour les employés de bureau. Ce salaire est conforme au salaire minimum genevois de 23 fr. 27 bruts de l'heure (cf. art. 39K al. 1 LIRT (RSGE J 1 05) et art. 1 ArSMC-2022 (RSGE J 1 05.03)). Après déduction de 12% de charges sociales, le salaire précité peut être arrêté à 3'250 fr. nets par mois. S'agissant de la possibilité effective de trouver rapidement un emploi et de la situation actuelle du marché du travail, l'intimée n'a produit aucune lettre de postulation. Elle n'a dès lors pas démontré qu'elle ne serait pas en mesure de trouver un emploi à brève échéance, ce d'autant plus qu'elle a allégué suivre des formations, ce qui devrait accélérer son retour sur le marché du travail.</w:t>
      </w:r>
    </w:p>
    <w:p>
      <w:r>
        <w:rPr>
          <w:b/>
        </w:rPr>
        <w:t>E. 5.2.3</w:t>
      </w:r>
    </w:p>
    <w:p>
      <w:r>
        <w:t>S'agissant des charges de l'appelant et de l'intimée, le premier juge a retenu un montant de 2'147 fr. 70, respectivement de 2'403 fr. 20 en se fondant sur le minimum vital du droit des poursuites. N'ayant pas été contestées par les parties et apparaissant conformes aux pièces produites et à la jurisprudence précitée, elles seront confirmées.</w:t>
      </w:r>
    </w:p>
    <w:p>
      <w:r>
        <w:rPr>
          <w:b/>
        </w:rPr>
        <w:t>E. 5.2.4</w:t>
      </w:r>
    </w:p>
    <w:p>
      <w:r>
        <w:t>En ce qui concerne l'enfant F______, le Tribunal a retenu des charges à hauteur de 475 fr. jusqu'à 6 ans, 520 fr. jusqu'à 10 ans, 720 fr. jusqu'à 16 ans et enfin 620 fr. dès 16 ans, comprenant le montant de base OP de 400 fr. jusqu'à 10 ans puis de 600 fr. dès cet âge, sa prime d'assurance maladie de base de 128 fr. 50, ses frais de transport de 45 fr. dès 6 ans et une part au loyer de sa mère de 245 fr. 80. Dans la mesure où la garde alternée est exercée et sera confirmée dans le présent arrêt, il y a également lieu de tenir compte d'une participation au loyer de son père. Ledit loyer s'élevant à 1'526 fr. par mois, la part relative à l'enfant peut être arrêtée à 305 fr. 20 (20% de 1'526 fr.). Ainsi, après déduction des allocations familiales de 300 fr. par mois jusqu'à 16 ans puis 400 fr. par mois dès cet âge, les charges de l'enfant F______ seront arrêtées à</w:t>
      </w:r>
    </w:p>
    <w:p>
      <w:r>
        <w:t>- 22/25 -</w:t>
      </w:r>
    </w:p>
    <w:p>
      <w:r>
        <w:t>C/6424/2020 780 fr. jusqu'à 6 ans, 825 fr. jusqu'à 10 ans, 1'025 fr. jusqu'à 16 ans et enfin 925 fr. dès 16 ans.</w:t>
      </w:r>
    </w:p>
    <w:p>
      <w:r>
        <w:rPr>
          <w:b/>
        </w:rPr>
        <w:t>E. 5.2.5</w:t>
      </w:r>
    </w:p>
    <w:p>
      <w:r>
        <w:t>S'agissant de la contribution de prise en charge, c'est à juste titre que le premier juge n'en a pas intégré dans l'entretien convenable de F______. Il apparaît en effet que les parties recherchent un travail, l'intimée effectuant également des formations, de sorte que ce n'est pas en raison de la présence de l'enfant F______ qu'elles ne sont pas en mesure de couvrir leurs propres charges.</w:t>
      </w:r>
    </w:p>
    <w:p>
      <w:r>
        <w:rPr>
          <w:b/>
        </w:rPr>
        <w:t>E. 5.2.6</w:t>
      </w:r>
    </w:p>
    <w:p>
      <w:r>
        <w:t>L'appelant et l'intimée se partageant la garde de leur fils, il convient de répartir également les besoins financiers de ce dernier en tenant compte de la fixation du domicile légal auprès de l'intimée et des situations financières respectives des parties. Cas échéant, il y aura lieu de fixer une contribution d'entretien. L'appelant doit assumer une part relative à l'enfant F______ estimée entre 505 fr. 20 et 605 fr. 20 en fonction des périodes, comprenant la moitié du montant de base OP et la participation à son loyer. Le solde disponible de l'appelant, après paiement de ses propres charges, s'élève à 1'352 fr. (3'500 fr. – 2'147 fr.), de sorte qu'il est en mesure de couvrir la part précitée des charges de l'enfant. S'agissant de l'intimée, la part des frais de l'enfant F______ qu'elle doit prendre en charge s'élève entre 524 fr. 30 et 719 fr. 30, correspondant à la moitié du montant de base OP, la participation à son loyer, la prime d'assurance maladie et les frais de transport. L'intimée perçoit et continuera à percevoir les allocations familiales, de sorte que la part précitée des coûts directs de l'enfant s'élèvera, en fonction des périodes, entre 274 fr. 30 et 419 fr. 30. Le solde disponible de l'intimée étant de 847 fr. (3'250 fr. – 2'403 fr.), elle est également en mesure de couvrir la part des frais de l'enfant précitée. Après paiement des parts respectives, les soldes disponibles des parties s'élèvent à 747 fr. respectivement 847 fr. pour l'appelant (1'352 fr. – 605 fr. 20 respectivement 505 fr. 20) et 427 fr. 50 respectivement 572 fr. 50 (847 fr. – 419 fr. 30 respectivement 274 fr. 30) pour l'intimée. Dans la mesure où aucune contribution d'entretien n'avait été prévue sur mesures protectrices de l'union conjugale alors que les parties exerçaient une garde alternée sur l'enfant F______, que les parties n'avaient pas contesté cette décision, que les situations financières n'ont, dans l'ensemble, pas changé depuis le jugement de mesures protectrices de l'union conjugale, que les parties n'ont pas non plus requis le versement d'une contribution à l'entretien de l'enfant à l'appui de la demande en divorce ou des écritures d'appel dans l'hypothèse du maintien de la garde alternée et que les soldes disponibles respectifs des parties sont similaires, il n'y a pas lieu de fixer une contribution d'entretien en faveur de l'enfant. Il y a en revanche lieu de préciser la répartition des frais précités de</w:t>
      </w:r>
    </w:p>
    <w:p>
      <w:r>
        <w:t>- 23/25 -</w:t>
      </w:r>
    </w:p>
    <w:p>
      <w:r>
        <w:t>C/6424/2020 l'enfant entre les parents dans le dispositif du présent arrêt ainsi que le fait que tous les autres frais relatifs à l'enfant seront partagés par moitié, pour autant qu'ils aient été engagés d'un commun accord entre les parties. S'agissant des bonifications pour tâches éducatives, étant donné la garde alternée, il y a lieu de les répartir par moitié entre les parties. Par conséquent, les chiffres 11, 12 et 14 du dispositif du jugement entrepris seront réformés dans le sens qui précède. 6. 6.1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 ni la quotité ni la répartition des frais de première instance n'ont valablement été remises en cause en appel, que ceux-ci ont été arrêtés conformément aux règles légales (art. 95, 96, 104 al. 1, 107 al. 1 let. c CPC; art. 5 et 30 du Règlement fixant le tarif des greffes en matière civile, RTFMC – RS/GE E 1 05.10) et compte tenu de l'issue du litige, le jugement entrepris sera confirmé sur ce point. 6.2 Les frais judiciaires d'appel seront fixés à 1'000 fr. (art. 30 et 35 RTFMC). Aucune des parties n'ayant obtenu entièrement gain de cause, il se justifie de répartir lesdits frais par moitié entre elles (art. 106 al. 1 CPC). Les parties plaidant au bénéfice de l'assistance judiciaire, les frais seront provisoirement supportés par l'Etat de Genève, lequel pourra en réclamer le remboursement ultérieurement (art. 122 al. 1 let. b et 123 al. 1 CPC et art. 19 du Règlement sur l'assistance juridique et l'indemnisation des conseils juridiques et défenseurs d'office en matière civile, administrative et pénale, RAJ – RS/GE E 2 05.04). Au vu de la nature du litige et de la qualité des parties, chacune supportera ses propres dépens d'appel (art. 107 al. 1 let. c CPC). * * * * *</w:t>
      </w:r>
    </w:p>
    <w:p>
      <w:r>
        <w:t>- 24/25 -</w:t>
      </w:r>
    </w:p>
    <w:p>
      <w:r>
        <w:t>C/6424/2020 PAR CES MOTIFS, La Chambre civile : A la forme : Déclare recevable l'appel interjeté par A______ contre le jugement JTPI/15534/2021 rendu le 9 décembre 2021 par le Tribunal de première instance dans la cause C/6424/2020-18. Au fond : Annule les chiffres 2, 3, 4, 11, 12 et 14 du dispositif du jugement précité. Cela fait et statuant à nouveau sur ces points : Ordonne le maintien de l'autorité parentale conjointe de A______ et B______ sur le mineur F______. Ordonne le maintien de la garde alternée, laquelle s'exerce, d'accord entre les parties, mais à défaut d'accord, à raison d'une semaine sur deux, du mardi 18h00 au jeudi 18h00 et du mardi 18h00 au dimanche 18h00 chez sa mère, le reste du temps chez son père, ainsi que durant la moitié des vacances scolaires, étant précisé qu'à défaut d'accord, B______ aura la garde de F______ les années paires, la première moitié des vacances de Pâques, les deux premières semaines du mois de juillet et les deux premières semaines du mois d'août, la totalité des vacances d'octobre et la deuxième semaine des vacances de Noël (nouvel-an inclus) et les années impaires, la totalité des vacances de février, la deuxième moitié des vacances de Pâques, les deux dernières semaines des vacances de juillet et les deux dernières semaines des vacances d'août ainsi que la première semaine des vacances de Noël (nativité incluse). Dit que, sauf accord contraire, les parents se partageront par moitié, et en alternance une année sur deux, les fêtes correspondant à leurs traditions, telles que celle de l'Aïd. Fixe le domicile légal de l'enfant F______ auprès de B______. Dit que chacune des parties prendra en charge les frais de F______ quand il sera sous sa garde. Condamne B______ à s'acquitter directement des frais de transport et d'assurance- maladie de l'enfant F______. Dit que les parties se partageront pour le surplus par moitié les frais relatifs à l'enfant F______, pour autant que ceux-ci aient été engagés d'un commun accord.</w:t>
      </w:r>
    </w:p>
    <w:p>
      <w:r>
        <w:t>- 25/25 -</w:t>
      </w:r>
    </w:p>
    <w:p>
      <w:r>
        <w:t>C/6424/2020 Ordonne le partage de la bonification pour tâches éducatives au sens de l'art. 52f bis RAVS par moitié entre B______ et A______. Confirme le jugement attaqué pour le surplus. Déboute les parties de toutes autres conclusions. Sur les frais : Arrête les frais judiciaires d'appel à 1'000 fr. et les met à la charge de B______ et A______ par moitié entre eux. Dit que ces frais seront provisoirement supportés par l'Etat de Genève, compte tenu du bénéfice de l'assistance judiciaire. Dit que chaque partie supporte ses propres dépens d'appel. Siégeant :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w:t>
      </w:r>
    </w:p>
    <w:p>
      <w:r>
        <w:rPr>
          <w:b/>
        </w:rPr>
        <w:t>E. 12</w:t>
      </w:r>
    </w:p>
    <w:p>
      <w:r>
        <w:t>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w:t>
      </w:r>
    </w:p>
    <w:p>
      <w:r>
        <w:t>- 19/25 -</w:t>
      </w:r>
    </w:p>
    <w:p>
      <w:r>
        <w:t>C/6424/2020 règles strictes et leur application dépend du cas concret; le juge du fait en tient compte dans l'exercice de son large pouvoir d'appréciation (art. 4 CC; ATF 144 III 481 consid. 4.7.9; arrêt du Tribunal fédéral 5A_329/2019 du 25 octobre 2019 consid. 3.3.1.2). 5.1.3 Dans le calcul des besoins, le minimum vital du droit des poursuites comprend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Lorsque la prise en charge quotidienne de l'enfant se répartit entre les deux parents, une part au loyer de l'enfant chez chaque parent est admise (arrêt du Tribunal fédéral 5A_952/2019 du 2 décembre 2020 consid. 6.3.2). 5.1.4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w:t>
      </w:r>
    </w:p>
    <w:p>
      <w:r>
        <w:t>- 20/25 -</w:t>
      </w:r>
    </w:p>
    <w:p>
      <w:r>
        <w:t>C/6424/2020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