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ACJC/1022/2022 vom 2. August 2022</w:t>
      </w:r>
    </w:p>
    <w:p>
      <w:r>
        <w:t>GE Cour de justice, 2022-08-02, FR</w:t>
      </w:r>
    </w:p>
    <w:p>
      <w:r>
        <w:rPr>
          <w:b/>
        </w:rPr>
        <w:t xml:space="preserve">Quelle: </w:t>
      </w:r>
      <w:r>
        <w:t>https://mcp.opencaselaw.ch/entscheid/ge_gerichte_ACJC_1022_2022</w:t>
      </w:r>
    </w:p>
    <w:p>
      <w:r>
        <w:t>FR: GE_GERICHTE ACJC/1022/2022 du 2 août 2022</w:t>
      </w:r>
    </w:p>
    <w:p>
      <w:r>
        <w:t>IT: GE_GERICHTE ACJC/1022/2022 del 2 agosto 2022</w:t>
      </w:r>
    </w:p>
    <w:p>
      <w:pPr>
        <w:pStyle w:val="Heading2"/>
      </w:pPr>
      <w:r>
        <w:t>Volltext</w:t>
      </w:r>
    </w:p>
    <w:p>
      <w:r>
        <w:t>Le présent arrêt est communiqué aux parties par plis recommandés du 2 août 2022</w:t>
      </w:r>
    </w:p>
    <w:p>
      <w:r>
        <w:t>REPUBLIQUE ET</w:t>
      </w:r>
    </w:p>
    <w:p>
      <w:r>
        <w:t>CANTON DE GENEVE POUVOIR JUDICIAIRE C/9848/2021 ACJC/1022/2022 ARRÊT DE LA COUR DE JUSTICE Chambre civile DU VENDREDI 29 JUILLET 2022</w:t>
      </w:r>
    </w:p>
    <w:p>
      <w:r>
        <w:t>Entre Monsieur A______, domicilié ______[GE], appelant d'un jugement rendu par la 19ème Chambre du Tribunal de première instance de ce canton le 25 avril 2022, comparant par Me Maxime CLIVAZ, avocat, INTERDROIT Etude d'Avocat-e-s Sàrl, Boulevard de Saint-Georges 72, Case postale, 1211 Genève 8, en l'Étude duquel il fait élection de domicile. et Madame B______, domiciliée ______[GE], intimée, comparant par Me Daniel KINZER, avocat, CMS von Erlach Partners SA, Rue Bovy-Lysberg 2, Case postale, 1211 Genève 3, en l'Étude duquel elle fait élection de domicile.</w:t>
      </w:r>
    </w:p>
    <w:p>
      <w:r>
        <w:t>- 2/4 -</w:t>
      </w:r>
    </w:p>
    <w:p>
      <w:r>
        <w:t>C/9848/2021 Attendu, EN FAIT, que par jugement JTPI/4844/2022 du 25 avril 2022, le Tribunal de première instance a, notamment, dissous par le divorce le mariage contracté le ______ 2014 à C______, Ethiopie par B______, née le ______ 1987 à D______, Ethiopie, de nationalité éthiopienne, et par A______ né le ______ 1978 à E______, Erythrée, originaire de G______ (VD) (ch. 1 du dispositif), statué sur les droits parentaux et les relations personnelles concernant les enfants F______, né le ______ 2015 à Genève et H______, né le ______ 2018 à Genève (GE) (ch. 2 à 5), donné acte aux époux de ce qu'ils partageaient par moitié leurs prestations de libre passage acquises pendant le mariage (ch. 8), et ordonné en conséquence à la caisse de prévoyance de A______, soit la Fondation I______, ______ Zurich, de prélever 17'077 fr.* 1'682 fr. 45** 17'077 fr. intérêts rémunératoires en sus depuis le 21 mai 2021, du compte de libre passage n° 1______ de A______ et de transférer cette somme sur le compte de libre passage ouvert par B______ auprès de l'institution de prévoyance de son choix (ch. 9); Que par acte expédié à la Cour de justice le 20 juillet 2022, A______ forme recours contre ce jugement, dont il sollicite l'annulation des chiffres 9 et 14 du dispositif; Qu'à titre préalable il sollicite la restitution de l'effet suspensif concernant le chiffre 9 du dispositif; Qu'invitée à se déterminer, l'intimée s'en est rapportée à justice quant à la suppression du caractère exécutoire du jugement entrepris, dès lors qu'il n'y avait pas d'urgence absolue à statuer sur le transfert des avoirs de prévoyance professionnelle; Considérant, EN DROIT, que l'appel n'a pas d'effet suspensif lorsqu'il a pour objet des décisions portant sur des mesures provisionnelles (art. 315 al. 4 let. b CPC); Que toutefois, l'exécution de mesures provisionnelles peut exceptionnellement être suspendue si la partie concernée risque de subir un préjudice difficilement réparable p(art. 315 al. 5 CPC);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arrêts du Tribunal fédéral 5A_853/2021 du 8 novembre 2021 consid. 5.1; 5A_792/2018 du 6 février 2019 consid. 3.2.2); Qu'elle doit procéder à une pesée des intérêts entre les deux préjudices difficilement réparables (ATF 138 III 378 consid. 6.3 et les références citées; 137 III 475 consid. 4.1); Qu'en l'espèce, il sera fait droit à la requête, l'intimée ne s'y opposant pas; que de plus, il n'y a pas d'urgence à l'exécution du transfert des avoirs de prévoyance professionnelle;</w:t>
      </w:r>
    </w:p>
    <w:p>
      <w:r>
        <w:t>- 3/4 -</w:t>
      </w:r>
    </w:p>
    <w:p>
      <w:r>
        <w:t>C/9848/2021 Qu'il sera statué sur les frais et dépens liés à la présente décision dans l'arrêt au fond (art. 104 al. 3 CPC). * * * * *</w:t>
      </w:r>
    </w:p>
    <w:p>
      <w:r>
        <w:t>- 4/4 -</w:t>
      </w:r>
    </w:p>
    <w:p>
      <w:r>
        <w:t>C/9848/2021 PAR CES MOTIFS, La Chambre civile : Statuant sur requête de suspension du caractère exécutoire du chiffre 9 du dispositif du jugement attaqué : Admet la requête formée par A______ tendant à suspendre le caractère exécutoire du ch. 9 du dispositif du jugement JTPI/4844/2022 rendu le 25 avril 2022 par le Tribunal de première instance dans la cause C/9848/2021. Dit qu'il sera statué sur les frais et dépens liés à la présente décision dans l'arrêt au fond. Siégeant : Madame Pauline ERARD, présidente ad interim, .Madame Jessica ATHMOUNI, greffière.</w:t>
      </w:r>
    </w:p>
    <w:p>
      <w:r>
        <w:t>La présidente ad interim : Pauline ERARD</w:t>
      </w:r>
    </w:p>
    <w:p>
      <w:r>
        <w:t>La greffière : Jessica ATHMOUNI</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