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ACJC/101/2018 vom 29. Januar 2018</w:t>
      </w:r>
    </w:p>
    <w:p>
      <w:r>
        <w:t>GE Cour de justice, 2018-01-29, FR</w:t>
      </w:r>
    </w:p>
    <w:p>
      <w:r>
        <w:rPr>
          <w:b/>
        </w:rPr>
        <w:t xml:space="preserve">Quelle: </w:t>
      </w:r>
      <w:r>
        <w:t>https://mcp.opencaselaw.ch/entscheid/ge_gerichte_ACJC_101_2018</w:t>
      </w:r>
    </w:p>
    <w:p>
      <w:r>
        <w:t>FR: GE_GERICHTE ACJC/101/2018 du 29 janvier 2018</w:t>
      </w:r>
    </w:p>
    <w:p>
      <w:r>
        <w:t>IT: GE_GERICHTE ACJC/101/2018 del 29 gennaio 2018</w:t>
      </w:r>
    </w:p>
    <w:p>
      <w:pPr>
        <w:pStyle w:val="Heading2"/>
      </w:pPr>
      <w:r>
        <w:t>Erwägungen</w:t>
      </w:r>
    </w:p>
    <w:p>
      <w:r>
        <w:rPr>
          <w:b/>
        </w:rPr>
        <w:t>E. 1.1</w:t>
      </w:r>
    </w:p>
    <w:p>
      <w:r>
        <w:t>L'art. 308 al. 1 let. b CPC ouvre la voie de l'appel contre les ordonnances de mesures provisionnelles rendues dans les causes non patrimoniales, telles les affaires relatives à la protection de la personnalité ne portant pas exclusivement sur des dommages-intérêts (ATF 142 III 145 consid. 6; arrêt du Tribunal fédéral 5A_761/2014 du 26 février 2015 consid. 1.2). Les mesures provisionnelles étant régies par la procédure sommaire (art. 248 let. d CPC), le délai d'appel est de dix jours (art. 314 al. 1 CPC). En l'espèce, formé en temps utile par une personne qui y a un intérêt, l'appel est recevable.</w:t>
      </w:r>
    </w:p>
    <w:p>
      <w:r>
        <w:rPr>
          <w:b/>
        </w:rPr>
        <w:t>E. 1.2</w:t>
      </w:r>
    </w:p>
    <w:p>
      <w:r>
        <w:t>Il n'est pas contesté que les tribunaux genevois sont compétents pour connaître du présent litige (art. 10 LDIP et 129 LDIP, applicable par renvoi de l'art. 33 al. 2 LDIP) et que le droit suisse est applicable (art. 133 LDIP), les parties étant domiciliées à Genève.</w:t>
      </w:r>
    </w:p>
    <w:p>
      <w:r>
        <w:rPr>
          <w:b/>
        </w:rPr>
        <w:t>E. 1.3</w:t>
      </w:r>
    </w:p>
    <w:p>
      <w:r>
        <w:t>L'appel peut être formé pour violation du droit (art. 310 let. a CPC) et constatation inexacte des faits (art. 310 let. b CPC). Le juge d'appel dispose d'un plein pouvoir d'examen de la cause en fait et en droit (ATF 138 III 374 consid. 4.3.1). En matière de mesures provisionnelles (art. 261 al. 1 CPC), la cognition du juge est limitée à la simple vraisemblance des faits et à un examen sommaire du droit, en se fondant sur les moyens de preuve immédiatement disponibles (ATF 138 III 636 consid. 4.3.2; arrêt du Tribunal fédéral 5A_812/2015 du 6 septembre 2016 consid. 5.2).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(arrêt du</w:t>
      </w:r>
    </w:p>
    <w:p>
      <w:r>
        <w:t>- 6/12 -</w:t>
      </w:r>
    </w:p>
    <w:p>
      <w:r>
        <w:t>C/17242/2017 Tribunal fédéral 5A_84/2016 du 5 septembre 2016 consid. 4.1). L'octroi de mesures provisionnelles implique donc de rendre vraisemblable, d'une part, les faits à l'appui de la prétention et, d'autre part, que celle-ci fonde vraisemblablement un droit; le requérant doit ainsi rendre vraisemblable que le droit matériel invoqué existe et que le procès a des chances de succès (ATF 131 III 473 consid. 2.3; arrêt du Tribunal fédéral 5A_1016/2015 du 15 septembre 2016 consid. 5.3).</w:t>
      </w:r>
    </w:p>
    <w:p>
      <w:r>
        <w:rPr>
          <w:b/>
        </w:rPr>
        <w:t>E. 2</w:t>
      </w:r>
    </w:p>
    <w:p>
      <w:r>
        <w:t>Les parties ont chacune produit des pièces nouvelles devant la Cour.</w:t>
      </w:r>
    </w:p>
    <w:p>
      <w:r>
        <w:rPr>
          <w:b/>
        </w:rPr>
        <w:t>E. 2.1</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w:t>
      </w:r>
    </w:p>
    <w:p>
      <w:r>
        <w:rPr>
          <w:b/>
        </w:rPr>
        <w:t>E. 2.2</w:t>
      </w:r>
    </w:p>
    <w:p>
      <w:r>
        <w:t>En l'espèce, les pièces n° 13 à 16 produites par l'appelant ainsi que les pièces n° 4, 12, 24, 27 (courrier du 8 novembre 2017 et acte d'accusation du 18 décembre 2017) et 28 produites par l'intimée, ainsi que les faits qu'elles comportent, sont postérieurs à la date à laquelle le Tribunal a gardé la cause à juger et sont donc recevables. En revanche, la pièce n° 17 (messages échangés au mois d'août 2017) de l'appelant, ainsi que les pièces n° 11 (constituée de plusieurs photographies vraisemblablement prises en juillet 2017), 16 (demande datée du 20 juillet 2017), 17 (procès-verbal d'audience du 24 juillet 2017 devant le TAPI), 25 (ordonnance d'ouverture d'instruction pénale du 22 août 2017) et 26 de l'intimée sont irrecevables, car elles auraient pu être produites devant le Tribunal en faisant preuve de la diligence requise. L'allégué de fait figurant au chiffre 69 de l'acte d'appel est également irrecevable, puisqu'il se rapporte à des faits survenus au mois d'août 2017, soit avant que la cause n'ait été gardée à juger par le Tribunal.</w:t>
      </w:r>
    </w:p>
    <w:p>
      <w:r>
        <w:rPr>
          <w:b/>
        </w:rPr>
        <w:t>E. 3</w:t>
      </w:r>
    </w:p>
    <w:p>
      <w:r>
        <w:t>Le Tribunal a considéré que les violences subies par l'intimée étaient rendues vraisemblables par les pièces produites. Dans la mesure où l'appelant ne semblait pas avoir pris conscience de la gravité de la situation et du climat de peur qu'il avait instauré, le risque de préjudice irréparable, sous forme notamment de tort moral, ne pouvait être exclu à l'avenir, de sorte qu'il se justifiait d'accorder à l'intimée une protection provisoire. L'appelant conteste la gravité des faits qui lui sont reprochés et fait valoir que les mesures de protection de la personnalité de l'intimée sont injustifiées. Il soutient que l'interdiction d'approcher celle-ci met les parties dans des situations</w:t>
      </w:r>
    </w:p>
    <w:p>
      <w:r>
        <w:t>- 7/12 -</w:t>
      </w:r>
    </w:p>
    <w:p>
      <w:r>
        <w:t>C/17242/2017 compliquées en lien avec leurs enfants et que l'attitude de l'intéressée est contradictoire.</w:t>
      </w:r>
    </w:p>
    <w:p>
      <w:r>
        <w:rPr>
          <w:b/>
        </w:rPr>
        <w:t>E. 3.1</w:t>
      </w:r>
    </w:p>
    <w:p>
      <w:r>
        <w:t>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L'art. 28b al. 2 CC permet notamment de prononcer, pour une durée déterminée, l'expulsion de l'auteur de violence - sous toutes ses formes, pour autant qu'elle atteigne une certaine intensité -, de menaces sérieuses - soit de nature à faire craindre des violences d'une certaine intensité envers la personne menacée ou ses proches -, ou encore de harcèlement - soit d'atteintes répétées à la vie privée engendrant chez la victime un sentiment de crainte - (STEINAUER/FOUNTOULAKIS, Droit des personnes physiques et de la protection de l'adulte, 2014, n. 585; SJ 2011 I 65; JEANDIN/PEYROT, in Commentaire romand du Code civil I, 2010, n. 12 ss ad art. 28b CC), du logement commun partagé avec la victime, le but étant de mettre fin à la vie commune pour prévenir de nouvelles atteintes. Si la victime peut craindre de nouvelles atteintes et que l'auteur des atteintes n'accepte pas de quitter définitivement le logement, c'est la victime qui, à terme, doit trouver à se reloger. La durée de l'expulsion doit notamment lui permettre de le faire dans de bonnes conditions. Toutefois, si cela paraît équitable au vu des circonstances et avec l'accord du bailleur, le juge peut attribuer à la seule victime les droits et obligations qui résultent du contrat de bail, en application de l'art. 28b al. 3 ch. 2 CC. En ce cas, l'auteur de l'atteinte peut être durablement empêché de réintégrer le logement commun si la victime l'estime nécessaire. Si l'auteur de l'atteinte expulsé est le maître du logement (propriétaire ou locataire), le juge peut, pour autant que cela paraisse équitable au vu des circonstances, imposer à la victime de verser à l'auteur de l'atteinte une indemnité appropriée pour l'utilisation exclusive du logement (art. 28b al. 3 ch. 1 CC; STEINAUER/FOUNTOULAKIS, op. cit., n. 587ss).</w:t>
      </w:r>
    </w:p>
    <w:p>
      <w:r>
        <w:t>- 8/12 -</w:t>
      </w:r>
    </w:p>
    <w:p>
      <w:r>
        <w:t>C/17242/2017</w:t>
      </w:r>
    </w:p>
    <w:p>
      <w:r>
        <w:rPr>
          <w:b/>
        </w:rPr>
        <w:t>E. 3.2</w:t>
      </w:r>
    </w:p>
    <w:p>
      <w:r>
        <w:t>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(arrêt du Tribunal fédéral 5A_377/2009 du 3 septembre 2009 consid. 5.3.2). Nonobstant son caractère hybride - de mesure à caractère provisoire et de mesure au fond - la mesure d'expulsion de l'art. 28b al. 2 CC est en principe de durée déterminée. La doctrine relève que lorsqu'elle est prononcée dans le cadre d'une procédure provisionnelle, elle n'est alors soumise ni à l'exigence d'une période déterminée, ni à celle d'une prolongation unique (JEANDIN/PEYROT, op. cit., n. 22 ad art. 28b CC et les réf. cit.). A l'inverse, la mesure d'attribution des droits et obligations découlant du bail, en application de l'art. 28b al. 3 ch. 2 CC, apparaît conçue comme une mesure définitive, au fond, non susceptible d'être prononcée par voie de mesures provisionnelles (JEANDIN/PEYROT, op. cit., n. 32 ad art. 28b CC).</w:t>
      </w:r>
    </w:p>
    <w:p>
      <w:r>
        <w:rPr>
          <w:b/>
        </w:rPr>
        <w:t>E. 3.3</w:t>
      </w:r>
    </w:p>
    <w:p>
      <w:r>
        <w:t>En l'espèce, l'appelant soutient que les événements du 14 juillet 2017 constitueraient une simple dispute du couple, dont les circonstances et le déroulement auraient été sciemment modifiés pour les dramatiser, dans le seul but de le faire apparaître comme une personne dangereuse, en vue d'obtenir son éloignement, puis son évacuation du logement. Il nie avoir donné un coup de poing à sa compagne et fait valoir que le geste qu'il a porté à son nez était involontaire et n'était pas grave puisque, hormis un saignement du nez, l'intéressée n'avait présenté aucune lésion ou hématome.</w:t>
      </w:r>
    </w:p>
    <w:p>
      <w:r>
        <w:t>Il résulte du dossier que l'appelant a, à tout le moins, porté un coup au visage de l'intimée - étant relevé qu'il n'est pas déterminant de savoir s'il s'agit d'un coup de poing ou de coude -, lui a fait subir plusieurs actes de contrainte et a admis avoir été menaçant sous l'effet de la colère. Ces éléments sont suffisants pour admettre, ne serait-ce qu'au stade de la vraisemblance, que l'intimée a été victime de violences physiques et psychiques de la part de l'appelant. Compte tenu des événements qui ont immédiatement suivi le coup porté au visage, il paraît peu crédible que celui-ci était involontaire. Par ailleurs, contrairement à ce que fait valoir l'appelant, les actes de violence précités, pour lesquels il sera prochainement jugé par le Tribunal de police, sont d'une intensité suffisante sous l'angle de l'art. 28b CC. Cela étant, depuis le prononcé des mesures d'éloignement, l'appelant a été en contact avec l'intimée par messages ou par téléphone et les parties s'accordent sur</w:t>
      </w:r>
    </w:p>
    <w:p>
      <w:r>
        <w:t>- 9/12 -</w:t>
      </w:r>
    </w:p>
    <w:p>
      <w:r>
        <w:t>C/17242/2017 le fait que le ton employé était correct. Les parties se sont par ailleurs retrouvées en présence l'une de l'autre à plusieurs reprises, notamment lors de la remise des enfants. Lors de son entretien avec le Service d'évaluation et d'accompagnement de la séparation parentale, l'intimée s'est de plus déclarée prête à ce que la mesure d'éloignement soit levée, dans l'intérêt des enfants. L'intéressée n'a en outre pas allégué avoir fait l'objet d'autres actes de violence de la part de l'appelant par le passé. Compte tenu des éléments qui précèdent, le risque que l'appelant porte atteinte à la personnalité de l'intimée ne paraît plus vraisemblable, à tout le moins dans les espaces publics. L'interdiction faite à l'appelant d'approcher l'intimée sera par conséquent levée. Toutefois, au vu de l'attitude de l'appelant, qui persiste à nier la gravité des actes survenus le 14 juillet 2017 et leur impact sur l'intimée, le risque que de nouveaux actes de violence physique ou psychique puissent se reproduire s'il vivait à nouveau sous le même toit que l'intimée ne peut être exclu. Dans ces circonstances, il se justifie, en vue de protéger la personnalité de l'intimée, de maintenir l'expulsion de l'appelant du logement de famille, soit de lui interdire de pénétrer ou de réintégrer ledit logement jusqu'à droit jugé dans la procédure au fond. Une telle mesure est conforme au principe de la proportionnalité, qui impose de prendre la mesure qui est suffisamment efficace pour la victime et la moins incisive pour l'auteur de l'atteinte. Par conséquent, les chiffres 2 à 3 de l'ordonnance querellée seront annulés et il sera statué conformément à ce qui précède. L'appelant n'ayant formulé aucune prétention sous l'angle de l'art. 28b al. 3 ch. 1 CC, il n'y a pas lieu d'examiner cette question.</w:t>
      </w:r>
    </w:p>
    <w:p>
      <w:r>
        <w:rPr>
          <w:b/>
        </w:rPr>
        <w:t>E. 4.1</w:t>
      </w:r>
    </w:p>
    <w:p>
      <w:r>
        <w:t>Lorsque la Cour de céans statue à nouveau, elle se prononce sur les frais fixés par le Tribunal (art. 318 al. 3 CPC). Les frais judiciaires de la procédure de première instance ont été arrêtés à 375 fr. et l'appelant a été condamné à verser 600 fr. de dépens en faveur de l'intimée. Compte tenu de l'issue du litige devant la Cour et de la nature de celui-ci, une modification de la décision déférée sur ces points ne s'impose pas.</w:t>
      </w:r>
    </w:p>
    <w:p>
      <w:r>
        <w:rPr>
          <w:b/>
        </w:rPr>
        <w:t>E. 4.2</w:t>
      </w:r>
    </w:p>
    <w:p>
      <w:r>
        <w:t>Les frais judiciaires d'appel seront fixés à 800 fr. (art. 26 RTFMC) et mis à la charge de l'appelant, compte tenu de la nature du litige et de son issue, l'intimée ayant obtenu gain de cause sur le principe d'une mesure de protection de sa personnalité, quand bien même la portée de ladite mesure a été restreinte en appel</w:t>
      </w:r>
    </w:p>
    <w:p>
      <w:r>
        <w:t>- 10/12 -</w:t>
      </w:r>
    </w:p>
    <w:p>
      <w:r>
        <w:t>C/17242/2017 (art. 106 et 107 al. 1 let. f CPC). Ils seront partiellement compensés avec l'avance de frais de 300 fr. versée par l'appelant (art. 111 al. 1 CPC), qui demeure acquise à l'Etat de Genève. L'appelant sera en conséquence condamné à verser aux Services financiers du Pouvoir judiciaire la somme de 500 fr. à titre de frais judiciaires. Pour les mêmes motifs, l'appelant sera condamné à verser à l'intimée 1'000 fr. de dépens d'appel, débours et TVA inclus (art. 86 RTFMC; art. 25 et 26 LaCC). * * * * *</w:t>
      </w:r>
    </w:p>
    <w:p>
      <w:r>
        <w:t>- 11/12 -</w:t>
      </w:r>
    </w:p>
    <w:p>
      <w:r>
        <w:t>C/17242/2017 PAR CES MOTIFS, La Chambre civile : A la forme : Déclare recevable l'appel interjeté par A______ contre l'ordonnance OTPI/496/2017 rendue le 18 septembre 2017 par le Tribunal de première instance dans la cause C/17242/2017-2 SP. Au fond : Annule les chiffres 2 et 3 du dispositif de ladite ordonnance et, statuant à nouveau sur ces points : Fait interdiction à A______ de pénétrer dans et/ou de réintégrer le logement familial sis ______ Genève jusqu'à droit jugé dans la procédure C/1______/2017 ou accord entre les parties. Confirme l'ordonnance entreprise pour le surplus. Déboute les parties de toutes autres conclusions. Sur les frais : Arrête les frais judiciaires d'appel à 800 fr. et les met à la charge de A______. Dit qu'ils sont partiellement compensés avec l'avance de frais de 300 fr. versée par A______, qui reste acquise à l'Etat de Genève. Condamne A______ à verser 500 fr. à l'Etat de Genève, soit pour lui les Services financiers du Pouvoir judiciaire, à titre de frais judiciaires. Condamne A______ à verser 1'000 fr. à B______ à titre de dépens. Siégeant : Madame Fabienne GEISINGER-MARIETHOZ, présidente; Monsieur Laurent RIEBEN et Monsieur Ivo BUETTI, juges; Monsieur David VAZQUEZ, commis-greffier. La présidente : Fabienne GEISINGER-MARIETHOZ</w:t>
      </w:r>
    </w:p>
    <w:p>
      <w:r>
        <w:t>Le commis-greffier : David VAZQUEZ</w:t>
      </w:r>
    </w:p>
    <w:p>
      <w:r>
        <w:t>- 12/12 -</w:t>
      </w:r>
    </w:p>
    <w:p>
      <w:r>
        <w:t>C/17242/2017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