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ACJC/1011/2017 vom 28. August 2017</w:t>
      </w:r>
    </w:p>
    <w:p>
      <w:r>
        <w:t>GE Cour de justice, 2017-08-28, FR</w:t>
      </w:r>
    </w:p>
    <w:p>
      <w:r>
        <w:rPr>
          <w:b/>
        </w:rPr>
        <w:t xml:space="preserve">Quelle: </w:t>
      </w:r>
      <w:r>
        <w:t>https://mcp.opencaselaw.ch/entscheid/ge_gerichte_ACJC_1011_2017</w:t>
      </w:r>
    </w:p>
    <w:p>
      <w:r>
        <w:t>FR: GE_GERICHTE ACJC/1011/2017 du 28 août 2017</w:t>
      </w:r>
    </w:p>
    <w:p>
      <w:r>
        <w:t>IT: GE_GERICHTE ACJC/1011/2017 del 28 agosto 2017</w:t>
      </w:r>
    </w:p>
    <w:p>
      <w:pPr>
        <w:pStyle w:val="Heading2"/>
      </w:pPr>
      <w:r>
        <w:t>Erwägungen</w:t>
      </w:r>
    </w:p>
    <w:p>
      <w:r>
        <w:rPr>
          <w:b/>
        </w:rPr>
        <w:t>E. 1.1</w:t>
      </w:r>
    </w:p>
    <w:p>
      <w:r>
        <w:t>L'appel est recevable pour les motifs exposés dans l'arrêt préparatoire de la Cour du 23 mars 2017.</w:t>
      </w:r>
    </w:p>
    <w:p>
      <w:r>
        <w:rPr>
          <w:b/>
        </w:rPr>
        <w:t>E. 1.2</w:t>
      </w:r>
    </w:p>
    <w:p>
      <w:r>
        <w:t>Dans sa réponse du 19 octobre 2016, l'intimée, qui conclut à titre principal à la confirmation du jugement et au rejet de l'appel, reprend, à titre subsidiaire, ses conclusions de première instance. Bien qu'elle n'ait pas explicitement déclaré faire appel joint, l'on comprend à la lumière de la motivation de son écriture que tel est le cas. Ne pas tenir compte des conclusions subsidiaires de l'intimée consacrerait un formalisme excessif prohibé par la jurisprudence (cf. ATF 137 III 617 consid. 6.2, JdT 2014 II 187), de sorte que celles-ci seront traitées comme un appel joint, étant précisé que l'appelant a eu l'occasion de se déterminer sur celles-ci dans son écriture de réplique. Interjeté dans le délai et suivant la forme prescrite par la loi (art. 130, 131, 142 al. 1 et 312 al. 1 et 2 CPC), l'appel joint est recevable.</w:t>
      </w:r>
    </w:p>
    <w:p>
      <w:r>
        <w:rPr>
          <w:b/>
        </w:rPr>
        <w:t>E. 1.3</w:t>
      </w:r>
    </w:p>
    <w:p>
      <w:r>
        <w:t>Par souci de clarté, le locataire sera désigné ci-après comme l'appelant et la bailleresse comme l'intimée.</w:t>
      </w:r>
    </w:p>
    <w:p>
      <w:r>
        <w:rPr>
          <w:b/>
        </w:rPr>
        <w:t>E. 1.4</w:t>
      </w:r>
    </w:p>
    <w:p>
      <w:r>
        <w:t>S'agissant d'une procédure relative à la protection contre les loyers abusifs (art. 269, 269a et 270b CO), la cause est soumise à la procédure simplifiée en vertu de l'art. 243 al. 2 let. c CPC (arrêt du Tribunal fédéral 4A_1/2014 du 26 mars 2014 consid. 2.3) et la maxime inquisitoire sociale est applicable (art. 55 al. 2 et 247 al. 2 let. a CPC).</w:t>
      </w:r>
    </w:p>
    <w:p>
      <w:r>
        <w:t>Saisie d'un appel, la Cour revoit la cause avec un pouvoir d'examen complet, c'est- à-dire tant en fait qu'en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comme retenu dans l'arrêt préparatoire du 23 mars 2017, le courrier de l'appelant au Tribunal du 12 juillet 2016, ainsi que l'annexe l'accompagnant, sont recevables. Le mémoire de recours au Tribunal fédéral interjeté par l'intimée le 12 septembre 2016, qu'elle a produit à l'appui de sa réponse du 19 octobre 2016, est également recevable, cette pièce étant postérieure au jugement querellé.</w:t>
      </w:r>
    </w:p>
    <w:p>
      <w:r>
        <w:t>- 10/16 -</w:t>
      </w:r>
    </w:p>
    <w:p>
      <w:r>
        <w:t>C/20421/2014 En revanche, le procès-verbal de l'assemblée générale ordinaire de l'intimée du 13 mars 2012, produit à l'appui du courrier que l'appelant a adressé à la Cour le 28 mars 2017, est irrecevable. En effet, l'appelant ne démontre pas qu'il aurait été empêché de produire ce document en première instance déjà. Il en va de même des allégués de fait s'y rapportant.</w:t>
      </w:r>
    </w:p>
    <w:p>
      <w:r>
        <w:rPr>
          <w:b/>
        </w:rPr>
        <w:t>E. 3.1</w:t>
      </w:r>
    </w:p>
    <w:p>
      <w:r>
        <w:t>La capacité d'être partie et d'ester en justice, conférée par l'exercice des droits civils, est une condition de recevabilité de l'action que le Tribunal doit examiner d'office (art. 59 al. 2 let. c et 60 CPC). 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(ATF 141 III 80 consid. 1.3 et les références citées). Les organes exécutifs, mais aussi toutes les personnes qui peuvent valablement représenter la société anonyme dans les actes juridiques avec des tiers en vertu des règles du droit civil, peuvent accomplir des actes judiciaires en son nom, comme signer des écritures et donner procuration à un avocat. Sont en premier lieu légitimés à représenter la société en justice les membres du conseil d'administration et, à moins que les statuts ou le règlement d'organisation ne l'exclue, un seul des membres de celui-ci (art. 718 al. 1 CO; ATF 141 III 80 précité). Chacune des personnes habilitées à représenter la société en justice doit justifier de sa qualité et de son pouvoir en produisant notamment un extrait du registre du commerce (ATF 141 III 80 précité).</w:t>
      </w:r>
    </w:p>
    <w:p>
      <w:r>
        <w:t>Savoir quelle(s) personne(s) est (sont) habilitée(s) à représenter la société anonyme en procédure ressortit ainsi à la capacité d'ester en justice de celles-ci. Il s'agit d'une condition de recevabilité de la demande (art. 59 al. 2 let. c CPC; ATF 141 III 80 précité).</w:t>
      </w:r>
    </w:p>
    <w:p>
      <w:r>
        <w:rPr>
          <w:b/>
        </w:rPr>
        <w:t>E. 3.2</w:t>
      </w:r>
    </w:p>
    <w:p>
      <w:r>
        <w:t>En l'espèce, dans son arrêt préparatoire du 23 mars 2017, la Cour a retenu que C______ ne disposait pas du pouvoir d'engager seule l'intimée dans la présente procédure, car la décision de l'assemblée générale de l'intimée du 7 mai 2013 - en vertu de laquelle C______ était devenue titulaire de la signature individuelle - était nulle. Dès lors, C______ était uniquement titulaire du pouvoir de signature collective à deux et ne pouvait agir qu'en concours avec un autre administrateur de l'intimée, tels un administrateur nommé judiciairement ou I______ inscrit au Registre du commerce avec signature collective à deux.</w:t>
      </w:r>
    </w:p>
    <w:p>
      <w:r>
        <w:t>- 11/16 -</w:t>
      </w:r>
    </w:p>
    <w:p>
      <w:r>
        <w:t>C/20421/2014 Ce dernier a, par courrier du 6 avril 2017, ratifié le mandat confié à Me Karin GROBET THORENS, ainsi que les actes entrepris par C______ pour le compte de l'intimée dans la présente procédure. Cela étant, la capacité d'ester en justice de l'intimée demeure douteuse, au vu des mesures provisionnelles prononcées dans le cadre du litige successoral opposant l'appelant à sa sœur dont il ne résulte pas avec certitude que cette dernière pourrait valablement représenter l'intimée dans la présente procédure. En effet, les droits d'actionnaire de C______ dans l'intimée ont été restreints afin d'éviter que celle-là n'empêche l'appelant d'user des biens de la succession encore en indivision, frère et sœur devant pouvoir bénéficier des biens de la succession sans préjudice sur l'autre. Or, le présent litige a pour objet l'introduction par l'intimée d'acomptes pour charges d'eau chaude et chauffage à hauteur de 2'400 fr. pour l'appartement de 4.5 pièces et de 2'700 fr. pour celui de 5.5 pièces que l'appelant occupe. Dans ces circonstances, la question de savoir si l'introduction des charges litigieuses ne se ferait pas au préjudice de l'appelant peut se poser. Quoi qu'il en soit, elle peut demeurer indécise dans la mesure où l'action sera rejetée pour les motifs exposés ci-dessous (cf. infra consid. 4 et 5).</w:t>
      </w:r>
    </w:p>
    <w:p>
      <w:r>
        <w:rPr>
          <w:b/>
        </w:rPr>
        <w:t>E. 4</w:t>
      </w:r>
    </w:p>
    <w:p>
      <w:r>
        <w:t>L'appelant reproche au Tribunal d'avoir statué ultra petita.</w:t>
      </w:r>
    </w:p>
    <w:p>
      <w:r>
        <w:rPr>
          <w:b/>
        </w:rPr>
        <w:t>E. 4.1</w:t>
      </w:r>
    </w:p>
    <w:p>
      <w:r>
        <w:t>Le tribunal ne peut accorder à une partie ni plus ni autre chose que ce qui est demandé, ni moins que ce qui est reconnu par la partie adverse (art. 58 al. 1 CPC). La question de savoir si le tribunal a accordé plus ou autre chose que ce qu'une partie au procès a demandé se détermine en premier lieu selon les conclusions formulées (arrêt du Tribunal fédéral 4A_440/2014 du 27 novembre 2014 consid. 3.3). La modification de la demande pendant la phase des débats principaux nécessite notamment de reposer sur des faits ou des moyens de preuve nouveaux (art. 230 al. 1 let. b CPC).</w:t>
      </w:r>
    </w:p>
    <w:p>
      <w:r>
        <w:rPr>
          <w:b/>
        </w:rPr>
        <w:t>E. 4.2</w:t>
      </w:r>
    </w:p>
    <w:p>
      <w:r>
        <w:t>En l'espèce, l'intimée a conclu, en première instance, à la validation des avis de modification de bail des 20 septembre 2014 et 31 mars 2015. Même si elle ignorait, comme l'intimée le soutient, jusqu'à l'audience du 22 janvier 2016, que feue E______ avait elle-même supprimé les charges d'eau chaude et de chauffage qui étaient facturées à l'appelant, elle était en mesure de prendre des conclusions constatatoires et ce en première instance déjà. Il en va de même pour les liens économiques et amicaux que l'appelant entretient avec L______, que l'intimée prétend avoir découvert à l'audience précitée.</w:t>
      </w:r>
    </w:p>
    <w:p>
      <w:r>
        <w:t>- 12/16 -</w:t>
      </w:r>
    </w:p>
    <w:p>
      <w:r>
        <w:t>C/20421/2014 En effet, sur la base de ces faits nouveaux, l'intimée aurait pu modifier sa demande conformément à l'art. 230 CPC et prendre des conclusions constatatoires subsidiaires, ce d'autant plus que le Tribunal a encore tenu une audience le 12 février 2016. Dans ces circonstances, le Tribunal a statué ultra petita en constatant que les montants des acomptes de charges relatifs aux appartements de 4.5 et 5.5 pièces occupés par A______ n'avaient pas été modifiés depuis la conclusion des baux et s'élevaient à 2'400 fr., respectivement 2'160 fr. par année. Partant, le chiffre 2 du dispositif du jugement attaqué sera annulé.</w:t>
      </w:r>
    </w:p>
    <w:p>
      <w:r>
        <w:rPr>
          <w:b/>
        </w:rPr>
        <w:t>E. 5</w:t>
      </w:r>
    </w:p>
    <w:p>
      <w:r>
        <w:t>L'intimée fait grief au Tribunal de ne pas avoir considéré que les avis de modification de bail des 20 septembre 2014 et 31 mars 2015 étaient valables.</w:t>
      </w:r>
    </w:p>
    <w:p>
      <w:r>
        <w:rPr>
          <w:b/>
        </w:rPr>
        <w:t>E. 5.1.1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A défaut de convention, ces frais sont compris dans le loyer (ATF 137 III 362 consid. 3.2.1 et les références citées).</w:t>
      </w:r>
    </w:p>
    <w:p>
      <w:r>
        <w:t>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précité et les références citées).</w:t>
      </w:r>
    </w:p>
    <w:p>
      <w:r>
        <w:rPr>
          <w:b/>
        </w:rPr>
        <w:t>E. 5.1.2</w:t>
      </w:r>
    </w:p>
    <w:p>
      <w:r>
        <w:t>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précité et les références citées).</w:t>
      </w:r>
    </w:p>
    <w:p>
      <w:r>
        <w:t>L'art. 19 OBLF exige notamment que la formule destinée à communiquer au locataire la modification unilatérale du contrat contienne la désignation des</w:t>
      </w:r>
    </w:p>
    <w:p>
      <w:r>
        <w:t>- 13/16 -</w:t>
      </w:r>
    </w:p>
    <w:p>
      <w:r>
        <w:t>C/20421/2014 prétentions, la date de leur entrée en vigueur, les motifs précis justifiant ces prétentions (al. 1 let. b). Si le motif figure dans une lettre d'accompagnement, le bailleur doit se référer expressément à cette lettre dans la formule officielle (al. 1bis); un tel mode de procéder était auparavant prohibé par la jurisprudence (ATF 137 III 362 précité et les références citées).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(ATF 137 III 362 précité et les références citées).</w:t>
      </w:r>
    </w:p>
    <w:p>
      <w:r>
        <w:t>La motivation telle qu'indiquée dans la formule officielle constitue une manifestation de volonté du bailleur. Si le locataire et le bailleur ne sont pas d'accord sur le sens ou la portée de cette communication, il faut l'interpréter selon le principe de la confiance; sont prises en compte les facultés de compréhension du locataire et toutes les circonstances du cas particulier (ATF 137 III 362 précité et les références citées).</w:t>
      </w:r>
    </w:p>
    <w:p>
      <w:r>
        <w:t>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En bref, le locataire doit être en mesure de déterminer si le montant du nouvel acompte correspond à des coûts effectifs, respectivement si le loyer va subir une augmentation (ATF 137 III 362 précité et les références citées).</w:t>
      </w:r>
    </w:p>
    <w:p>
      <w:r>
        <w:t>La modification unilatérale qui ne comporte aucune motivation ou qui n'est pas motivée de façon suffisamment précise est nulle (ATF 137 III 362 précité et les références citées).</w:t>
      </w:r>
    </w:p>
    <w:p>
      <w:r>
        <w:rPr>
          <w:b/>
        </w:rPr>
        <w:t>E. 5.2</w:t>
      </w:r>
    </w:p>
    <w:p>
      <w:r>
        <w:t>En l'espèce, les parties ont conclu deux baux dans les années 1980, lesquels prévoyaient que l'appelant devait supporter, en sus des loyers, les charges de</w:t>
      </w:r>
    </w:p>
    <w:p>
      <w:r>
        <w:t>- 14/16 -</w:t>
      </w:r>
    </w:p>
    <w:p>
      <w:r>
        <w:t>C/20421/2014 chauffage et d'eau chaude à hauteur de 2'400 fr. pour l'appartement de 4.5 pièces et de 2'160 fr. pour celui de 5.5 pièces. Toutefois, peu après la conclusion des baux précités, l'appelant n'a plus payé lesdites charges, car sa mère avait décidé de ne plus les facturer à son fils, afin de rétablir l'équité entre ses deux enfants, la fille ayant pris en location un appartement dans le même immeuble à des conditions plus avantageuses que son frère. Ceci est corroboré par le témoignage de M______, lequel a été directement en contact avec E______ en tant que gérant d'une des précédentes régies en charge de l'immeuble. Selon ce témoin, même si E______ ne disposait d'aucun pouvoir formel au sein de l'intimée, elle gérait de facto la société. A supposer que l'on parte du principe que E______ n'avait pas engagé valablement la société, il doit être retenu que F______, qui était, pour sa part, administrateur de l'intimée avec signature individuelle jusqu'à son décès en 2012, a tacitement ratifié la décision prise par sa femme. Ce dernier a en effet renoncé à entreprendre les démarches pour que son fils s'acquitte des charges litigieuses et a continué à facturer les charges à la bailleresse, selon les déclarations du représentant de l'intimée, I______. Il découle de ce qui précède que les parties ont modifié les baux, en ce sens que l'appelant n'avait plus à s'acquitter séparément des frais accessoires, ceux-ci étant dès lors forfaitairement inclus dans les loyers des deux appartements. Le fait que les avis de majoration des loyers du 9 novembre 2000 indiquaient que les précédentes charges étaient de 0 fr. n'est en soi pas déterminant, mais corrobore tout au plus ce qui précède. Après le décès de F______, l'intimée a souhaité que le locataire paye des acomptes de charges pour chauffage et eau chaude en sus du loyer. Dans la mesure où la volonté de l'intimée a été exprimée lors de la séance de son conseil d'administration du 1er mai 2014 et au vu du litige opposant l'appelant à sa sœur notamment quant au contrôle de l'intimée, la question de savoir si le conseil d'administration de l'intimée a valablement exprimé la volonté de la société lors de la séance précitée se pose. Elle souffre toutefois demeurer indécise, l'action devant de toute façon être rejetée pour les raisons qui suivent. Les avis de modification de bail des 20 septembre 2014 et 31 mars 2015 annoncent l'introduction d'acomptes pour charges de chauffage et d'eau chaude à hauteur de 2'400 fr. pour l'appartement de 4.5 pièces et de 2'700 fr. pour celui de</w:t>
      </w:r>
    </w:p>
    <w:p>
      <w:r>
        <w:rPr>
          <w:b/>
        </w:rPr>
        <w:t>E. 5.5</w:t>
      </w:r>
    </w:p>
    <w:p>
      <w:r>
        <w:t>pièces. Dans la mesure où les loyers des deux appartements devaient rester inchangés, les modifications imposées unilatéralement par la bailleresse consacraient une augmentation des loyers. Or, les avis litigieux ne donnent aucune indication quant aux motifs des modifications, renvoyant uniquement au procès-verbal de la séance du conseil</w:t>
      </w:r>
    </w:p>
    <w:p>
      <w:r>
        <w:t>- 15/16 -</w:t>
      </w:r>
    </w:p>
    <w:p>
      <w:r>
        <w:t>C/20421/2014 d'administration du 1er mai 2014. Ledit procès-verbal n'offre pas plus de précisions, puisqu'il se limite à indiquer que toute démarche doit être entreprise pour que l'appelant paie les charges des deux appartements qu'il occupe. Sur cette base, le locataire ne pouvait pas déterminer le montant effectif des charges afférentes aux appartements litigieux, ni apprécier dans quelle mesure le montant des acomptes correspondait aux coûts effectifs qui étaient nouvellement mis à sa charge.</w:t>
      </w:r>
    </w:p>
    <w:p>
      <w:r>
        <w:t>L'intimée ne saurait s'affranchir de ses obligations découlant du droit du bail au seul motif que le locataire a siégé au conseil d'administration de la société pendant de nombreuses années. Du reste, l'intimée n'a pas allégué précisément les connaissances que l'appelant aurait acquises par ce biais et qui lui auraient permis de déterminer le montant effectif des frais accessoires relatifs aux appartements dont il est le locataire. Dès lors que la portée et les motifs des modifications litigieuses ne revêtent pas la forme écrite qualifiée, les avis des 20 septembre 2014 et 31 mars 2015 sont nuls.</w:t>
      </w:r>
    </w:p>
    <w:p>
      <w:r>
        <w:t>Partant, le chiffre 1 du dispositif du jugement attaqué sera confirmé par substitution de motifs.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C/20421/2014 PAR CES MOTIFS, La Chambre des baux et loyers : A la forme : Déclare recevable l'appel interjeté le 15 septembre 2016 par A______ et l'appel joint formé par B______ le 19 octobre 2016 contre le jugement JTBL/617/2016 rendu le 24 juin 2016 par le Tribunal des baux et loyers dans la cause C/20421/2014. Au fond : Annule le chiffre 2 du dispositif de ce jugement. Cela fait et statuant à nouveau sur ce point : Déboute B______ de toutes ses conclusions. Confirme le jugement pour le surplus.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