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ACJC/100/2021 vom 27. Januar 2021</w:t>
      </w:r>
    </w:p>
    <w:p>
      <w:r>
        <w:t>GE Cour de justice, 2021-01-27, FR</w:t>
      </w:r>
    </w:p>
    <w:p>
      <w:r>
        <w:rPr>
          <w:b/>
        </w:rPr>
        <w:t xml:space="preserve">Quelle: </w:t>
      </w:r>
      <w:r>
        <w:t>https://mcp.opencaselaw.ch/entscheid/ge_gerichte_ACJC_100_2021</w:t>
      </w:r>
    </w:p>
    <w:p>
      <w:r>
        <w:t>FR: GE_GERICHTE ACJC/100/2021 du 27 janvier 2021</w:t>
      </w:r>
    </w:p>
    <w:p>
      <w:r>
        <w:t>IT: GE_GERICHTE ACJC/100/2021 del 27 gennaio 2021</w:t>
      </w:r>
    </w:p>
    <w:p>
      <w:pPr>
        <w:pStyle w:val="Heading2"/>
      </w:pPr>
      <w:r>
        <w:t>Erwägungen</w:t>
      </w:r>
    </w:p>
    <w:p>
      <w:r>
        <w:rPr>
          <w:b/>
        </w:rPr>
        <w:t>E. 1.1</w:t>
      </w:r>
    </w:p>
    <w:p>
      <w:r>
        <w:t>La voie de l'appel est ouverte contre la décision querellée, qui est une décision de mesures provisionnelles rendue dans une cause de nature non patrimoniale (art. 308 al. 1 let. b CPC).</w:t>
      </w:r>
    </w:p>
    <w:p>
      <w:r>
        <w:t>Interjeté dans le délai de dix jours (art. 314 al. 1 CPC) et selon la forme prescrite</w:t>
      </w:r>
    </w:p>
    <w:p>
      <w:r>
        <w:t>- 8/12 -</w:t>
      </w:r>
    </w:p>
    <w:p>
      <w:r>
        <w:t>C/10557/2019 par la loi (art. 311 CPC), l'appel est recevable.</w:t>
      </w:r>
    </w:p>
    <w:p>
      <w:r>
        <w:rPr>
          <w:b/>
        </w:rPr>
        <w:t>E. 1.2</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1.3</w:t>
      </w:r>
    </w:p>
    <w:p>
      <w:r>
        <w:t>La Cour revoit la cause avec un plein pouvoir d'examen (art. 310 CPC).</w:t>
      </w:r>
    </w:p>
    <w:p>
      <w:r>
        <w:rPr>
          <w:b/>
        </w:rPr>
        <w:t>E. 2</w:t>
      </w:r>
    </w:p>
    <w:p>
      <w:r>
        <w:t>L'appelant a produit des pièces nouvelles devant la Cour.</w:t>
      </w:r>
    </w:p>
    <w:p>
      <w:r>
        <w:rPr>
          <w:b/>
        </w:rPr>
        <w:t>E. 2.1</w:t>
      </w:r>
    </w:p>
    <w:p>
      <w:r>
        <w:t>A teneur de l'art. 317 al. 1 CPC, les faits et les moyens de preuve nouveaux ne sont pris en considération en appel que s'ils sont invoqués ou produits sans retard (let. a) et avec la diligence requise (let. b).</w:t>
      </w:r>
    </w:p>
    <w:p>
      <w:r>
        <w:t>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w:t>
      </w:r>
    </w:p>
    <w:p>
      <w:r>
        <w:rPr>
          <w:b/>
        </w:rPr>
        <w:t>E. 2.2</w:t>
      </w:r>
    </w:p>
    <w:p>
      <w:r>
        <w:t>Dès lors, les pièces nouvellement produites sont recevables, ainsi que les allégués de fait s'y rapportant.</w:t>
      </w:r>
    </w:p>
    <w:p>
      <w:r>
        <w:rPr>
          <w:b/>
        </w:rPr>
        <w:t>E. 3</w:t>
      </w:r>
    </w:p>
    <w:p>
      <w:r>
        <w:t>L'appelant conteste le droit de visite limité qui a été fixé par le Tribunal sur mesures provisionnelles malgré la teneur du rapport du SEASP du 27 novembre 2019, lequel préconisait un élargissement progressif de son droit de visite. 3.1.1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à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(PARISSIMA VEZ, Le droit de visite- Problèmes récurrents, in Enfant et divorce, 2006, 101 ss, 105). Le rapport de l'enfant avec ses deux parents est essentiel et peut jouer un rôle décisif dans le processus de sa recherche d'identité (ATF 127 III 295 consid. 4a; 123 III 445 consid. 3c; 122 III 404 consid. 3a et références). L'appréciation des circonstances de fait pour fixer le droit aux relations personnelles de l'art. 273 al. 1 CC, c'est-à-</w:t>
      </w:r>
    </w:p>
    <w:p>
      <w:r>
        <w:t>- 9/12 -</w:t>
      </w:r>
    </w:p>
    <w:p>
      <w:r>
        <w:t>C/10557/2019 dire la détermination de leur portée juridique, est une question de droit (arrêt du Tribunal fédéral 5A_120/2013 du 23 mai 2013 consid. 2.1.2).</w:t>
      </w:r>
    </w:p>
    <w:p>
      <w:r>
        <w:t>3.1.2 Si les relations personnelles compromettent le développement de l'enfant, si les parents qui les entretiennent violent leurs obligations, s'ils ne se soucient pas sérieusement de l'enfant ou s'il existe d'autres raisons importantes, le droit à des relations personnelles peur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les limites supportables pour l'enfant (ATF 120 II 229 consid. 3b/aa). Si, par contre le préjudice engendré pour l'enfant par les relations personnelles peut être limité grâce à la présence d'un tiers (droit de visite surveillé), le droit à la personnalité du parent non détenteur de l'autorité parentale, le principe de la proportionnalité, mais également le sens et le but des relations personnelles, interdisent la suppression complète de ce droit (arrêts du Tribunal fédéral 5A_120/2013 du 23 mai 2013 consid. 2.1.3 et 5A_92/2009 du 22 avril 2009 consid. 2, in FamPra.ch 2009 p. 786; ATF 122 III 404 consid. 3c).</w:t>
      </w:r>
    </w:p>
    <w:p>
      <w:r>
        <w:t>3.1.3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w:t>
      </w:r>
    </w:p>
    <w:p>
      <w:r>
        <w:t>Le juge n'est pas lié par les conclusions du SEASP. Le rapport de ce service (lequel constitue une preuve au sens des art. 168 et 190 CPC) est soumis, à l'instar des autres preuves, au principe de la libre appréciation consacré par l'art. 157 CPC (arrêt du Tribunal fédéral 5A_382/19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- 10/12 -</w:t>
      </w:r>
    </w:p>
    <w:p>
      <w:r>
        <w:t>C/10557/2019</w:t>
      </w:r>
    </w:p>
    <w:p>
      <w:r>
        <w:rPr>
          <w:b/>
        </w:rPr>
        <w:t>E. 3.2</w:t>
      </w:r>
    </w:p>
    <w:p>
      <w:r>
        <w:t>En l'espèce, le Tribunal a considéré que le droit de visite d'ores et déjà mis en place en milieu protégé au E______, à quinzaine et pendant deux heures, ne devait pas être modifié sur mesures provisionnelles, la sécurité et la protection des mineures primant l'intérêt du père à voir son droit de visite élargi. Si certes le SEASP avait préconisé un assouplissement progressif du droit de visite du père, la mère des enfants avait fortement critiqué ce rapport, estimant que l'avis des professionnels entourant celles-ci n'avait pas été pris en considération. Les craintes de la mère concernant des actes de violence du père étaient certes contestées par celui-ci mais il n'en demeurait pas moins que ce dernier avait fait l'objet d'un éloignement administratif pour violences conjugales et l'objet d'une procédure pénale, assortie d'une condamnation. Ces éléments justifiaient que le Tribunal ne modifie pas, sur mesures provisionnelles et avant réception du rapport d'expertise sollicité, l'organisation actuelle du droit de visite mis en place par le SPMi.</w:t>
      </w:r>
    </w:p>
    <w:p>
      <w:r>
        <w:t>L'appelant estime que c'est à tort que le Tribunal n'a pas décidé de suivre les recommandations d'élargissement de ce droit de visite tel que préconisé par le SEASP dans son rapport du 27 novembre 2019. Il relève par ailleurs qu'il a été acquitté de la plupart des infractions pour lesquelles sa compagne avait déposé plainte. Si certes, le SEASP a préconisé un élargissement progressif du droit de visite de l'appelant, compte tenu du bon déroulement des visites médiatisées, c'est à raison que le Tribunal n'a pas fixé sur mesures provisionnelles un élargissement de ces dernières. En effet, indépendamment du résultat de la procédure pénale, la vie du couple a été émaillée par des actes de violence, dont certains d'une grande ampleur, violences qui se sont déroulées en partie en présence des jeunes enfants du couple, témoignant une difficulté certaine de ces derniers à les préserver du conflit conjugal. Bien que ces actes de violence se soient déroulés au sein du couple, le comportement emporté et violent de l'appelant interpelle. Il ressort également de la procédure que le recourant a pu se montrer agacé par les comportements de ses filles et manquer de patience à leur égard. Il a notamment reconnu avoir serré le bras de la cadette au point de laisser une marque sur celui- ci. Il a expliqué cette marque, sans remettre en question son comportement, par le fait que l'enfant « marquait vite, comme sa mère ». Une telle explication permet de douter de ses capacités à prendre en charge seul et de manière adéquate ses filles, de sorte que le Tribunal, agissant dans l'intérêt des mineures, a considéré à juste titre qu'il convenait de fixer sur mesures provisionnelles un droit de visite médiatisé de l'appelant sur ses filles, dans l'attente du résultat de l'expertise psychiatrique sollicitée. La Cour partage ces considérations. En effet, le fait que les visites médiatisées à quinzaine, en présence d'un éducateur, se déroulent bien ne permet pas de considérer que le recourant serait en mesure de s'occuper seul des mineures à son domicile et ce, même s'il indique s'en être occupé de manière prépondérante durant la vie commune. Un examen approfondi de la situation familiale, notamment par le biais de l'expertise psychiatrique ordonnée par le</w:t>
      </w:r>
    </w:p>
    <w:p>
      <w:r>
        <w:t>- 11/12 -</w:t>
      </w:r>
    </w:p>
    <w:p>
      <w:r>
        <w:t>C/10557/2019 Tribunal, permettra de déterminer les compétences parentales, en termes de garde et de relations personnelles, et l'impact des actes de violence conjugale sur le développement des mineures, afin de prendre des décisions adéquates pour leur bon développement et leur sécurité. Dans l'intervalle, le droit de visite fixé sur mesures provisionnelles en faveur du père par le Tribunal est adéquat et suffisant afin de préserver le lien paternel entre ce dernier et ses filles, dans l'attente du résultat de l'instruction et d'une décision au fond.</w:t>
      </w:r>
    </w:p>
    <w:p>
      <w:r>
        <w:t>L'appel sera donc rejeté et l'ordonnance entreprise confirmée.</w:t>
      </w:r>
    </w:p>
    <w:p>
      <w:r>
        <w:rPr>
          <w:b/>
        </w:rPr>
        <w:t>E. 4</w:t>
      </w:r>
    </w:p>
    <w:p>
      <w:r>
        <w:t>Les frais judiciaires d'appel seront arrêtés à 800 fr. (art. 26 RTFMC), mis à la charge de l'appelant qui succombe (art. 106 al. 1 CPC) et entièrement compensés avec l'avance de frais de même montant effectuée par ce dernier, laquelle reste acquise à l'Etat de Genève (art. 111 al. 1 CPC).</w:t>
      </w:r>
    </w:p>
    <w:p>
      <w:r>
        <w:t>Compte tenu de la nature du litige, chaque partie supportera ses propres dépens d'appel (art. 107 al. 1 let. c CPC). * * * * *</w:t>
      </w:r>
    </w:p>
    <w:p>
      <w:r>
        <w:t>- 12/12 -</w:t>
      </w:r>
    </w:p>
    <w:p>
      <w:r>
        <w:t>C/10557/2019 PAR CES MOTIFS, La Chambre civile : A la forme : Déclare recevable l'appel interjeté le 15 mai 2020 par A______ contre l'ordonnance OTPI/257/2020 rendue le 4 mai 2020 par le Tribunal de première instance dans la cause C/10557/2019-2. Au fond : Confirme l'ordonnance entreprise.</w:t>
      </w:r>
    </w:p>
    <w:p>
      <w:r>
        <w:t>Déboute les parties de toutes autres conclusions. Sur les frais : Arrête les frais judiciaires d'appel à 800 fr., les met à la charge de A______, les compense avec l'avance effectuée, laquelle reste acquise à l'Etat de Genève.</w:t>
      </w:r>
    </w:p>
    <w:p>
      <w:r>
        <w:t>Dit que chaque partie supportera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au sens de la LTF indéterminée s'agissant de droits parentaux.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