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ACJC/100/2020 vom 3. Februar 2020</w:t>
      </w:r>
    </w:p>
    <w:p>
      <w:r>
        <w:t>GE Cour de justice, 2020-02-03, FR</w:t>
      </w:r>
    </w:p>
    <w:p>
      <w:r>
        <w:rPr>
          <w:b/>
        </w:rPr>
        <w:t xml:space="preserve">Quelle: </w:t>
      </w:r>
      <w:r>
        <w:t>https://mcp.opencaselaw.ch/entscheid/ge_gerichte_ACJC_100_2020</w:t>
      </w:r>
    </w:p>
    <w:p>
      <w:r>
        <w:t>FR: GE_GERICHTE ACJC/100/2020 du 3 février 2020</w:t>
      </w:r>
    </w:p>
    <w:p>
      <w:r>
        <w:t>IT: GE_GERICHTE ACJC/100/2020 del 3 febbraio 2020</w:t>
      </w:r>
    </w:p>
    <w:p>
      <w:pPr>
        <w:pStyle w:val="Heading2"/>
      </w:pPr>
      <w:r>
        <w:t>Erwägungen</w:t>
      </w:r>
    </w:p>
    <w:p>
      <w:r>
        <w:rPr>
          <w:b/>
        </w:rPr>
        <w:t>E. 12</w:t>
      </w:r>
    </w:p>
    <w:p>
      <w:r>
        <w:t>ans, 1'100 fr. de 12 ans à 15 ans et 1'200 fr. de 15 à 18 ans, voire au-delà en cas d'études sérieuses et régulières, mais jusqu'à 25 ans au plus.</w:t>
      </w:r>
    </w:p>
    <w:p>
      <w:r>
        <w:t>EN DROIT 1. 1.1 L'appel est recevable contre les décisions finales de première instance (art. 308 al. 1 let. a CPC), dans les causes non patrimoniales ou dont la valeur litigieuse, au</w:t>
      </w:r>
    </w:p>
    <w:p>
      <w:r>
        <w:t>- 7/15 -</w:t>
      </w:r>
    </w:p>
    <w:p>
      <w:r>
        <w:t>C/4788/2018 dernier état des conclusions de première instance, est supérieure à 10'000 fr. (art. 308 al. 2 CPC). En l'espèce, les montants contestés, tels qu'ils résultent de la procédure de première instance, une fois capitalisés conformément à l'art. 92 al. 2 CPC, sont supérieurs à 10'000 fr., de sorte que la voie de l'appel est ouverte. 1.2 Formé dans le délai et selon la forme prescrits par la loi (art. 130, 131 et 311 al. 1 CPC), l'appel est recevable. 1.3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eu égard à la maxime inquisitoire illimitée (ATF 144 III 349 consid. 4.2.1). Au vu de cette règle, les pièces produites par l'appelant sont recevables puisqu'elles se rapportent à la situation personnelle et financière des parties pertinente pour l'établissement des contributions d'entretien des enfants mineurs.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Le litige étant circonscrit au montant des contributions dues pour l'entretien des enfants mineurs, la procédure est soumise aux maximes d'office et inquisitoire illimitée (ATF 129 III 417 consid. 2.1.2; arrêt du Tribunal fédéral 5A_524/2017 du 9 octobre 2017 consid. 3.2.2). Ainsi, le juge n'est pas lié par les conclusions des parties et il établit les faits d'office (art. 296 al. 1 et 3 CPC). 2. L'appelant se plaint de ce que les contributions d'entretien allouées aux enfants sont trop élevées. Il reproche au Tribunal de lui avoir imputé un revenu hypothétique et d'avoir mis à sa charge l'intégralité des frais des enfants. 2.1 En vertu de l'art. 133 al. 1 ch. 4 CC, dans la procédure de divorce, le juge règle les droits et les devoirs des père et mère conformément aux dispositions régissant les effets de la filiation, notamment celles relatives à la contribution d'entretien.</w:t>
      </w:r>
    </w:p>
    <w:p>
      <w:r>
        <w:t>- 8/15 -</w:t>
      </w:r>
    </w:p>
    <w:p>
      <w:r>
        <w:t>C/4788/2018 2.1.1 Selon l'art. 276 CC, auquel renvoie cette disposition,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S'agissant de l'obligation d'entretien d'enfants mineurs, les exigences à l'égard des père et mère sont plus élevées, en sorte que ceux-ci doivent réellement épuiser leur capacité maximale de travail (ATF 137 III 118 consid. 3.1; arrêt du Tribunal fédéral 5A_874/2014 du 8 mai 2015 consid. 6.2.1). 2.1.2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en faisant preuve de bonne volonté et en accomplissant l'effort que l'on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ce délai</w:t>
      </w:r>
    </w:p>
    <w:p>
      <w:r>
        <w:t>- 9/15 -</w:t>
      </w:r>
    </w:p>
    <w:p>
      <w:r>
        <w:t>C/4788/2018 doit être fixé en fonction des circonstances du cas particulier (ATF 129 III 417 consid. 2.2; 114 II 13 consid. 5; arrêt du Tribunal fédéral 5A_251/2016 du</w:t>
      </w:r>
    </w:p>
    <w:p>
      <w:r>
        <w:rPr>
          <w:b/>
        </w:rPr>
        <w:t>E. 15</w:t>
      </w:r>
    </w:p>
    <w:p>
      <w:r>
        <w:t>août 2016 consid. 2.2.1). L'époux qui, alors que la séparation apparaît définitive, n'entreprend pas les démarches pour retrouver un emploi ne peut se prévaloir du fait qu'en raison de l'accroissement de son âge durant la procédure, ses perspectives de gain se sont amenuisées (arrêt du Tribunal fédéral 5A_56/2010 du 2 juin 2010 consid. 3.3). 2.1.3 La loi ne prescrit pas de méthode de calcul particulière pour arrêter la quotité de la contribution d'entretien due à l'enfant. Sa fixation relève de l'appréciation du juge, qui jouit d'un large pouvoir d'appréciation et applique les règles du droit et de l'équité (art. 4 CC; ATF 140 III 337 consid. 4.2.2; 134 III 577 consid. 4; arrêt du Tribunal fédéral 5A_465/2016 du 19 janvier 2017 consid. 7.2.2). L'une des méthodes pour calculer le montant de la contribution d'entretien est celle du minimum vital avec participation à l'excédent (ATF 134 III 577 consid. 3), qui consiste à prendre en considération le minimum vital du droit des poursuites auquel sont ajoutées les dépenses incompressibles, augmentées d'autres dépenses non strictement nécessaires si la situation des parties le permet, puis à répartir l'éventuel excédent une fois les besoins élémentaires de chacun couverts (ATF 140 III 337 consid. 4.2.3; arrêts du Tribunal fédéral 5A_329/2016 du 6 décembre 2016 consid. 4.1; 5A_61/2015 du 20 mai 2015 consid. 4.2.1.1 et 4.2.2). La loi énumère divers facteurs interdépendants pour fixer la contribution : les besoins de l'enfant, les ressources des deux parents et de l'enfant, le train de vie des parents, le cas échéant la part du débiteur à la prise en charge - en nature - de l'enfant. Le juge doit les évaluer et les combiner, d'abord pour estimer le coût de l'enfant, puis pour répartir ce coût entre les parents. (art. 285 al. 1 CC; HELLE, Droit matrimonial, Commentaire pratique, 2016, n. 81 ad art. 133 CC; BASTONS BULLETTI, L'entretien après divorce : méthodes de calcul, montant, durée et limites, publié in SJ 2007 II 79). La quotité de la contribution ne dépend pas uniquement de la capacité contributive du parent débiteur d'aliments, mais aussi des ressources financières du parent qui a obtenu la garde (ATF 127 III 68 consid. 2b et les références mentionnées; 126 III 353 consid. 2b).</w:t>
      </w:r>
    </w:p>
    <w:p>
      <w:r>
        <w:t>- 10/15 -</w:t>
      </w:r>
    </w:p>
    <w:p>
      <w:r>
        <w:t>C/4788/2018 2.2 2.2.1 En l'espèce, s'agissant de la question du revenu hypothétique, il convient d'examiner si l'appelant a accompli les efforts que l'on pouvait exiger de lui et s'il a fait preuve de bonne volonté en recherchant un emploi mieux rémunéré que celui qu'il occupe. A cet égard, par arrêt du 12 septembre 2017, la Cour a souligné que les obligations d'entretien de l'appelant lui imposaient, depuis la séparation du couple au début de l'année 2016, de chercher une activité mieux rémunérée, quitte à devoir chercher un poste moins qualifié, correspondant par exemple à sa formation de base, et en mettant au besoin ses connaissances à jour. Or, depuis lors, l'appelant a tardé à effectuer des recherches de travail sérieuses, puisqu'il ressort des pièces produites qu'il n'a commencé à effectuer la grande majorité de ses recherches qu'à partir de novembre 2018, soit plus d'un an après l'arrêt précité. A cela s'ajoute que ses postulations s'adressent presque exclusivement à des banques ou à des sociétés de gestion de fortune ou de finance, pour des postes de gérant de portefeuille, d'analyste financier, de conseiller en investissement, de banquier privé, de "trader" ou de "broker", soit des postes aux qualifications identiques, voire supérieures aux emplois qu'il a exercés jusqu'alors. Il ressort de ses recherches qu'il n'a pas élargi celles-ci à d'autres domaines que le secteur bancaire et financier, ni à des postes moins qualifiés que celui qu'il exerce actuellement. A cet égard, il n'explique pas en quoi ses demandes d'emploi seraient aussi variées qu'il le prétend ni dans quels autres domaines il les aurait effectuées. Dès lors, force est de constater que ses recherches de travail ne sauraient être considérées comme suffisamment sérieuses et variées au regard des exigences légales découlant de son obligation d'entretien envers ses deux enfants mineurs et de son obligation de mettre en œuvre tous les moyens raisonnablement exigibles et d'épuiser réellement sa capacité maximale de travail afin d'améliorer sa capacité contributive. L'appelant, titulaire d'une licence universitaire en sciences économiques et sociales, mention gestion d'entreprise, maîtrise le français, l'anglais et l'arabe, ce qui constitue un atout indéniable sur le marché du travail genevois. Certes, ses deux périodes de chômage l'ont éloigné du marché du travail pendant un certain temps. Cela étant, dans la mesure où il bénéficie d'une expérience professionnelle de plus de vingt-cinq ans dans le secteur bancaire et financier auprès d'institutions réputées, il ne saurait être considéré que ces périodes de chômage péjoreraient ses recherches d'emploi à tel point qu'elles se trouveraient dénuées de chance de succès. Il ne saurait non plus se prévaloir de ce que ses perspectives de gain se seraient réduites à cause de l'accroissement de son âge pendant les années écoulées durant</w:t>
      </w:r>
    </w:p>
    <w:p>
      <w:r>
        <w:t>- 11/15 -</w:t>
      </w:r>
    </w:p>
    <w:p>
      <w:r>
        <w:t>C/4788/2018 les procédures l'opposant à l'intimée, dès lors qu'il sait déjà depuis plusieurs mois qu'il lui incombe de trouver une activité mieux rémunérée afin de pouvoir faire face à ses obligations d'entretien envers ses enfants, et qu'il n'a pas entrepris les démarches nécessaires. A cela s'ajoute qu'il ne se prévaut d'aucun problème de santé l'empêchant de mettre en œuvre sa capacité de gain maximale à plein temps. La situation sur le marché du travail dans le domaine de la finance est certes tendue, fait notoire qui ne doit pas être minimisé, ce qui rend ainsi plus difficile pour l'appelant la recherche d'un emploi correspondant à son expérience et à ses qualifications, mais n'exclut pas pour autant qu'il en trouve un. Enfin, l'appelant ne peut pas se limiter à rechercher un poste de gérant de fortune ou de conseiller en investissement. Il doit en effet, au besoin, rechercher un poste moins qualifié ou correspondant à sa formation de base. Selon la dernière enquête suisse sur la structure des salaires, dans la branche économique "services financiers", le revenu mensuel brut médian d'un homme pour une activité à plein temps, dans la région lémanique, pour une profession de type "employé de bureau" (employé de commerce, secrétaire ou assistant d'administration), sans fonction de cadre, s'élève à 9'614 fr., et le salaire d'un "commerçant ou vendeur" (soit notamment conseiller à la vente) s'élève à 9'421 fr. Pour le même profil, dans la branche économique "activités des sièges sociaux; conseil de gestion" pour une profession de type "professions intermédiaire, finance et administration" (soit notamment employé de banque, conseiller ou assistant à la clientèle), sans fonction de cadre, le salaire d'un homme de 50 ans est de 8'236 fr., tandis que pour une profession de type "employé de bureau", ce revenu s'élève à 7'822 fr. Il ressort également du calculateur de salaire en ligne de l'Etat de Genève qu'une personne de 50 ans au bénéfice d'un titre universitaire peut réaliser, dans la branche économique des "services financiers", à un poste d'"employé de bureau", sans fonction de cadre ni ancienneté, un salaire brut médian de 9’440 fr. en travaillant à plein temps. En outre, pour un poste de conseiller à la clientèle, commerçant, employé de banque ou assistant de direction, le salaire est de 10'270 fr., voire 10'740 pour un "conseiller de vente". Enfin, dans la branche économique "activité de gestion", le salaire pour un poste d'"employé de bureau" (soit secrétaire, employé de commerce ou assistant) s'élève à 7'520 fr. L'appelant a été en mesure de percevoir un revenu mensuel net de l'ordre de 25'000 fr. pendant six ans jusqu'en 2009. Par la suite, il a perçu un revenu mensuel de 12'700 fr. de 2011 à 2012, puis de 8'600 fr. en 2013, soit à une époque où la situation de l'emploi dans le domaine de la finance n'était déjà plus aussi prospère qu'elle a pu l'être par le passé.</w:t>
      </w:r>
    </w:p>
    <w:p>
      <w:r>
        <w:t>- 12/15 -</w:t>
      </w:r>
    </w:p>
    <w:p>
      <w:r>
        <w:t>C/4788/2018 Par conséquent et compte tenu de ce qui précède, il y a lieu de considérer qu'en accomplissant les efforts que l'on peut raisonnablement exiger de l'appelant afin de remplir ses obligations envers ses deux enfants mineurs, celui-ci serait en mesure, compte tenu de son expérience professionnelle et de ses qualifications et au vu des statistiques précitées, de réaliser, en travaillant à plein temps, un salaire s'élevant, à tout le moins, à 7'500 fr. bruts par mois, soit 6'000 fr. nets en tenant compte des cotisations sociales usuelles. C'est dès lors à bon droit que le Tribunal a imputé à l'appelant un revenu hypothétique net de 6'000 fr., et cela sans lui accorder de délai supplémentaire pour s'adapter à la situation puisqu'il a déjà bénéficié d'un tel délai selon l'arrêt de la Cour du 12 septembre 2017. Il s'ensuit que le jugement attaqué sera confirmé sur ce point. 2.2.2 L'appelant soutient que l'intégralité des frais des enfants ne devait pas être mise à sa charge compte tenu de la situation financière respective des parties. L’appelant dispose d'un solde mensuel de 3'247 fr. avant paiement des contributions d'entretien (6'000 fr. – 2'753 fr.) et l'intimée de 4'234 fr. (7'970 fr. – 3'736 fr.), tandis que les charges des enfants s'élèvent à 2'000 fr., soit 1'000 fr. par enfant (1'300 fr. – 300 fr. à titre d'allocations familiales). Si l'intimée dispose certes d'un disponible supérieur à celui de l'appelant, il convient toutefois de tenir compte de ce qu'elle assure l'entretien des enfants en nature de manière largement prépondérante, étant donné que le droit de visite accordé à l'appelant, qui s'exerce un week-end sur deux, et en alternance, du lundi soir au mardi matin toutes les deux semaines, ainsi que la moitié des vacances scolaires, ne s'écarte pas de manière significative d'un droit de visite usuel. A cela s'ajoute que le solde dont dispose l'intimée résulte notamment du fait qu'elle exerce son emploi à un taux d'activité de 90%, supérieur à celui que lui impose sa situation actuelle. En effet, selon la jurisprudence (ATF 144 III 481 consid. 4.7.6), elle pourrait travailler à 50 % uniquement, étant donné que la plus jeune des deux enfants dont elle a la garde n'est encore âgée que de 11 ans. A compter de l'année scolaire 2020-2021, lorsque sa fille cadette sera en âge de fréquenter le cycle secondaire, le taux d'activité qui pourrait être exigé d'elle sera de 80 %. Il ne paraît dès lors pas équitable de lui imposer de participer aux frais des enfants au moyen des ressources dont elle dispose en raison du fait qu'elle assume une charge de travail plus importante que celle à laquelle elle pourrait se limiter et donc en raison des efforts qu'elle consent à cet égard. Il doit en outre être tenu compte du fait qu'elle assume les frais extraordinaires de ses enfants (cf. infra consid. 3), de sorte que son disponible en est réduit d'autant.</w:t>
      </w:r>
    </w:p>
    <w:p>
      <w:r>
        <w:t>- 13/15 -</w:t>
      </w:r>
    </w:p>
    <w:p>
      <w:r>
        <w:t>C/4788/2018 Enfin, après paiement des différentes contributions d'entretien mises à sa charge, l'appelant conserve un solde non négligeable et il ne se trouve pas réduit à son minimum vital. C'est dès lors à bon droit que le Tribunal a mis l'entretien convenable des enfants entièrement à charge de l'appelant. 2.2.3 Au vu de ce qui précède, le ch. 5 du dispositif du jugement attaqué sera confirmé. 3. L'appelant reproche au Tribunal de ne pas avoir réglé le sort des frais extraordinaires des enfants. Il allègue à cet égard que l'intimée lui aurait réclamé le paiement de factures relatives à un camp d'été. Il conclut ainsi à ce qu'il soit dit que les frais extraordinaires des enfants soient partagés entre les parties, après discussion et accord préalable sur leur montant, afin de rendre la situation et les obligations de chacun des parents plus claires sur cette question. Il ne ressort pas des pièces produites par l'appelant que le paiement des frais extraordinaires des enfants, autres que ceux pris en compte à titre de charges, serait véritablement problématique et ferait l'objet de discussions ou de conflits réguliers. En outre, si des dissensions existent entre les parties, comme le soutient l'appelant, la mise en œuvre de discussions quant à la nature et au montant des frais extraordinaires à engager ainsi que la prise de décisions relatives à ces questions sera difficile. L'intimée soutient pour sa part qu'elle prend à sa charge l'entier des frais extraordinaires, notamment les frais relatifs aux loisirs de ses filles et ce, même sur les week-ends de l'appelant. Elle s'oppose au partage par moitié desdits frais et ne revendique pas un autre mode de répartition que celui qui est actuellement pratiqué. La conclusion de l'appelant tendant à la prise en charge par moitié des frais extraordinaires des enfants après discussion n'apparaît dès lors pas de nature à clarifier et à résoudre une situation qui serait véritablement problématique, mais plutôt à susciter, le cas échéant, des controverses entre les parties. Il ne se justifie dès lors pas de donner suite à ladite conclusion. Pour le surplus, en cas de litige concernant des frais extraordinaires, l'art. 286 al. 3 CC sera applicable. 4. Les frais judiciaires d'appel seront arrêtés à 1'250 fr. (art. 95 al. 2 et 105 al. 1 CPC; art. 2, 30 et 35 RTFMC), mis à la charge de l'appelant, qui succombe, et compensés avec l'avance de frais de même montant versée par ce dernier, qui reste acquise à l'Etat de Genève (art. 106 al. 1 et 111 al. 1 CPC).</w:t>
      </w:r>
    </w:p>
    <w:p>
      <w:r>
        <w:t>- 14/15 -</w:t>
      </w:r>
    </w:p>
    <w:p>
      <w:r>
        <w:t>C/4788/2018 Compte tenu de la nature familiale du litige, chaque partie supportera ses propres dépens d'appel (art. 107 al. 1 let. c CPC). * * * * *</w:t>
      </w:r>
    </w:p>
    <w:p>
      <w:r>
        <w:t>- 15/15 -</w:t>
      </w:r>
    </w:p>
    <w:p>
      <w:r>
        <w:t>C/4788/2018 PAR CES MOTIFS, La Chambre civile : A la forme : Déclare recevable l'appel interjeté le 24 juin 2019 par A_____ contre le jugement JTPI/7569/2019 rendu le 23 mai 2019 par le Tribunal de première instance dans la cause C/4788/2018-18. Au fond : Confirme ce jugement. Déboute les parties de toutes autres conclusions. Sur les frais : Arrête les frais judiciaires d'appel à 1'250 fr., les met à la charge de A_____ et dit qu'ils sont compensés avec l'avance de frais de même montant fournie par celui-ci, qui reste acquise à l'Etat de Genève.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