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ACJC/100/2018 vom 23. Januar 2018</w:t>
      </w:r>
    </w:p>
    <w:p>
      <w:r>
        <w:t>GE Cour de justice, 2018-01-23, FR</w:t>
      </w:r>
    </w:p>
    <w:p>
      <w:r>
        <w:rPr>
          <w:b/>
        </w:rPr>
        <w:t xml:space="preserve">Quelle: </w:t>
      </w:r>
      <w:r>
        <w:t>https://mcp.opencaselaw.ch/entscheid/ge_gerichte_ACJC_100_2018</w:t>
      </w:r>
    </w:p>
    <w:p>
      <w:r>
        <w:t>FR: GE_GERICHTE ACJC/100/2018 du 23 janvier 2018</w:t>
      </w:r>
    </w:p>
    <w:p>
      <w:r>
        <w:t>IT: GE_GERICHTE ACJC/100/2018 del 23 gennaio 2018</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selon la forme prescrite, le recours est recevable sous cet angle.</w:t>
      </w:r>
    </w:p>
    <w:p>
      <w:r>
        <w:rPr>
          <w:b/>
        </w:rPr>
        <w:t>E. 1.2</w:t>
      </w:r>
    </w:p>
    <w:p>
      <w:r>
        <w:t>L'intimée soutient que le recours est irrecevable car tardif et adressé auprès de la mauvaise autorité.</w:t>
      </w:r>
    </w:p>
    <w:p>
      <w:r>
        <w:rPr>
          <w:b/>
        </w:rPr>
        <w:t>E. 1.2.1</w:t>
      </w:r>
    </w:p>
    <w:p>
      <w:r>
        <w:t>Si le recours est introduit auprès d'une autorité intra- ou même extra cantonale non saisie de la cause, ou auprès d'une autorité fédérale, le délai ne peut être considéré comme respecté que si l'autorité incompétente transmet, dans le délai de recours encore, le mémoire à l'autorité compétente, ce à quoi elle n'est pas légalement tenue, mais qui selon les circonstances, peut lui être imposé par l'interdiction du formalisme excessif (ATF 140 III 636 consid. 3, 3.5 – 3.7; arrêt du Tribunal fédéral 5A_576/2012 [recte : 5A_376/2012] du 16 janvier 2013 consid. 3.3).</w:t>
      </w:r>
    </w:p>
    <w:p>
      <w:r>
        <w:rPr>
          <w:b/>
        </w:rPr>
        <w:t>E. 1.2.2</w:t>
      </w:r>
    </w:p>
    <w:p>
      <w:r>
        <w:t>En l'espèce, le jugement dont est recours a été reçu par la recourante le 26 septembre 2017. Cette dernière a adressé son acte de recours à la Chambre civile de la Cour de justice, à l'adresse de la Chambre administrative de la Cour, que cette dernière a reçu le 6 octobre 2017 et transmis à la Chambre civile le même jour. Il doit donc être non seulement retenu que la recourante a saisi la Chambre civile de son recours, mais encore que l'autorité incompétente qui a reçu le pli a transmis ledit recours, dans le délai de recours, à la Chambre compétente de la Cour.</w:t>
      </w:r>
    </w:p>
    <w:p>
      <w:r>
        <w:rPr>
          <w:b/>
        </w:rPr>
        <w:t>E. 1.2.3</w:t>
      </w:r>
    </w:p>
    <w:p>
      <w:r>
        <w:t>Par conséquent,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w:t>
      </w:r>
    </w:p>
    <w:p>
      <w:r>
        <w:t>Les maximes des débats et de disposition s'appliquent (art. 55 al. 1, 255 lit. a a contrario et 58 al. 1 CPC).</w:t>
      </w:r>
    </w:p>
    <w:p>
      <w:r>
        <w:t>- 7/13 -</w:t>
      </w:r>
    </w:p>
    <w:p>
      <w:r>
        <w:t>C/8284/2017</w:t>
      </w:r>
    </w:p>
    <w:p>
      <w:r>
        <w:t>S'agissant d'une procédure de mainlevée définitive, la Cour doit vérifier d'office si la requête est fondée sur un titre de mainlevée valable (arrêts du Tribunal fédéral 5A_217/2012 du 9 juillet 2012 consid. 5.1; 5P.174/2005 du 7 octobre 2005). Dans cette mesure, la Cour applique librement le droit.</w:t>
      </w:r>
    </w:p>
    <w:p>
      <w:r>
        <w:t>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(HOHL/DE PORET BORTOLASO/AGUET, op. cit., n. 2513-2515).</w:t>
      </w:r>
    </w:p>
    <w:p>
      <w:r>
        <w:rPr>
          <w:b/>
        </w:rPr>
        <w:t>E. 1.4</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1.5</w:t>
      </w:r>
    </w:p>
    <w:p>
      <w:r>
        <w:t>La procédure de mainlevée définitive, comme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2</w:t>
      </w:r>
    </w:p>
    <w:p>
      <w:r>
        <w:t>La recourante se plaint d'une constatation inexacte des faits par le Tribunal. En particulier, elle reproche au premier juge de ne pas avoir pris en considération l'attestation de C______, le procès-verbal de la séance du 31 mars 2014 et les échanges de courriels produits par elle devant le Tribunal.</w:t>
      </w:r>
    </w:p>
    <w:p>
      <w:r>
        <w:t>Le grief de la recourante est fondé. En effet, ces pièces, pertinentes pour l'issue du litige, n'ont pas été retenues, à tort, par le Tribunal. Ces points ont été rectifiés par la Cour, dans la partie en fait de la présente décision.</w:t>
      </w:r>
    </w:p>
    <w:p>
      <w:r>
        <w:rPr>
          <w:b/>
        </w:rPr>
        <w:t>E. 3</w:t>
      </w:r>
    </w:p>
    <w:p>
      <w:r>
        <w:t>La recourante reproche au Tribunal d'avoir considéré qu'une sentence arbitrale avait été rendue et constituait un titre de mainlevée définitive de l'opposition.</w:t>
      </w:r>
    </w:p>
    <w:p>
      <w:r>
        <w:t>- 8/13 -</w:t>
      </w:r>
    </w:p>
    <w:p>
      <w:r>
        <w:t>C/8284/2017</w:t>
      </w:r>
    </w:p>
    <w:p>
      <w:r>
        <w:rPr>
          <w:b/>
        </w:rPr>
        <w:t>E. 3.1</w:t>
      </w:r>
    </w:p>
    <w:p>
      <w:r>
        <w:t>Aux termes de l'art. 80 al. 1 LP, le créancier qui est au bénéfice d'un jugement exécutoire peut requérir du juge la mainlevée définitive de l'opposition.</w:t>
      </w:r>
    </w:p>
    <w:p>
      <w:r>
        <w:t>Dès qu'elle est communiquée, la sentence arbitrale déploie les mêmes effets qu'une décision judiciaire (art. 387 CPC). Partant, elle constitue un titre de mainlevée définitive au sens de l'art. 80 LP lorsqu'elle condamne une partie au paiement d'une somme d'argent (ATF 140 III 267 consid. 1.2.3; GIRSBERGER, in Commentaire bâlois, Schweizerische Zivilprozessordnung, Spühler/Tenchio/ Infanger [éd.], 2e éd. 2013, n. 25 ad art. 387 CPC).</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w:t>
      </w:r>
    </w:p>
    <w:p>
      <w:r>
        <w:t>- 9/13 -</w:t>
      </w:r>
    </w:p>
    <w:p>
      <w:r>
        <w:t>C/8284/2017 important, dont la connaissance ressort exclusivement au juge du fond (ATF 124 III 501 consid. 3a; 113 III consid. 1b).</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Parmi les moyens libératoires qui remettent en cause l'existence ou l'exigibilité de la créance déduite en poursuite (art. 81 al. 1 LP) figure la modification du juge- ment sur lequel le poursuivant se fonde pour requérir la mainlevée définitive de l'opposition (ATF 55 II 161; GILLIERON, op. cit., n. 51 ad art. 81 LP; STAEHELIN, op. cit., n. 47 ad art. 80 LP). L'extinction de la dette doit être soulevée et prouvée par titre par le poursuivi (SCHMIDT, op. cit., n. 1 ad art. 81 LP).</w:t>
      </w:r>
    </w:p>
    <w:p>
      <w:r>
        <w:rPr>
          <w:b/>
        </w:rPr>
        <w:t>E. 3.4</w:t>
      </w:r>
    </w:p>
    <w:p>
      <w:r>
        <w:t>La convention d'arbitrage, visée à l'art. 357 CPC,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(ATF 140 III 367 consid. 2.2.2 et les arrêts cités; arrêt du Tribunal fédéral 4A_676/2014 du 3 juin 2015 consid. 3.2.2).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(ATF 140 III 239 consid. 3.3.1; 138 III 29 consid. 2.2.3).</w:t>
      </w:r>
    </w:p>
    <w:p>
      <w:r>
        <w:t>En vertu de l'art. 358 CPC, la convention d'arbitrage est passée en la forme écrite ou par tout autre moyen permettant d'en établir la preuve par un texte (arrêt du Tribunal fédéral 4A_65/2015 du 28 septembre 2015 consid. 4.2.1). La forme particulière prescrite par cette disposition, qui correspond à celle de l'art. 178 al. 1 LDIP, est une condition de validité de la convention d'arbitrage (ATF 140 III 239 précité consid. 3.3.1; arrêt du Tribunal fédéral 4A_618/2015 du 9 mars 2016 consid. 4.3). Elle vise à éviter toute incertitude au sujet du choix des parties d'opter pour ce type de justice à caractère privé et toute renonciation faite à la légère au juge naturel et aux moyens de recours qui existent dans une procédure judiciaire étatique (ATF 142 III 239 consid. 3.3.1; PFISTERER, Berner Kommentar, 2014, nos 2 à 4 ad art. 358 CPC; TSCHANZ, in Commentaire romand, Loi sur le droit international privé Convention de Lugano, 2011. n. 25/26 ad art. 178 LDIP).</w:t>
      </w:r>
    </w:p>
    <w:p>
      <w:r>
        <w:t>Le texte doit contenir les éléments essentiels de la convention d'arbitrage que sont l'identité des parties, la volonté de celles-ci de recourir à l'arbitrage et l'objet sur lequel devra porter la procédure arbitrale (ATF 140 III 239 précité consid. 3.3.1;</w:t>
      </w:r>
    </w:p>
    <w:p>
      <w:r>
        <w:t>- 10/13 -</w:t>
      </w:r>
    </w:p>
    <w:p>
      <w:r>
        <w:t>C/8284/2017 138 III 29 consid. 2.2.3 et les arrêts cités; arrêt du Tribunal fédéral 4A_473/2016 du 16 février 2017 consid. 3.1.1).</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w:t>
      </w:r>
    </w:p>
    <w:p>
      <w:r>
        <w:t>Si la jurisprudence a coutume de dire que la nullité peut être constatée "par toute autorité", cela tient au fait qu'il existe une grande diversité de situations dans lesquelles une décision nulle peut influer sur la validité de décisions postérieures relevant d'autres autorités. On ne peut donc pas énumérer toutes les autorités qui, amenées à rendre une décision ultérieure (par exemple une décision d'exécution), pourront constater à titre préjudiciel que la décision initiale est affectée d'un tel vice (arrêt du Tribunal fédéral 4A_142/2016 du 25 novembre 2016 consid. 2.2).</w:t>
      </w:r>
    </w:p>
    <w:p>
      <w:r>
        <w:t>La nullité absolue, constatable en tout temps, d'une décision en matière d'arbitrage ne sera prononcée que dans des cas extrêmes, tels que le défaut d'arbitrabilité du litige, et doit rester l'exception (arrêt 4P.267/1994 du 21 juin 1995 consid. 3a; pour des exemples, cf. CORBOZ, Commentaire de la LTF, 2e éd. 2014, n. 179/180 ad art. 77 LTF). Ainsi, une sentence, même affectée d'un vice grave, n'est en principe pas nulle, mais seulement annulable, remarque qui vaut plus particulièrement pour les vices que la loi érige en motifs d'annulation de la sentence, comme le fait pour le tribunal arbitral de se déclarer à tort compétent ou incompétent (art. 393 let. b CPC) (arrêt du Tribunal fédéral 4A_407/2017 du 20 novembre 2017 consid. 2.2.2.1).</w:t>
      </w:r>
    </w:p>
    <w:p>
      <w:r>
        <w:t>Le Tribunal fédéral a, enfin, retenu qu'il est concevable que l'on doive nier à une sentence arbitrale sa qualité de décision en raison de sa forme, et qu'elle ne puisse être reconnue comme telle, de sorte que la personne visée n'a aucune raison d'attaquer la non-décision. Il est également concevable, notamment dans les cas où toute convention d'arbitrage fait défaut et où aucune procédure n'a eu lieu, que la décision soit affectée d'un vice d'une gravité telle qu'elle doive être qualifiée de nulle (ATF 130 III 125 consid. consid. 3.1 in JdT 2004 II 120, 126; HABSCHEID, Rechtsstaatliche Aspekt des internationalen Schiedsverfahren mit Rechtsmittelverzicht nach dem IPR-Gesetz, 1998, p. 14 et 25; HEINI, IPRG- Kommentar, 1993, n. 25 ad art. 190 LDIP).</w:t>
      </w:r>
    </w:p>
    <w:p>
      <w:r>
        <w:rPr>
          <w:b/>
        </w:rPr>
        <w:t>E. 3.5</w:t>
      </w:r>
    </w:p>
    <w:p>
      <w:r>
        <w:t>En l'espèce, comme il a été vu ci-avant (consid. 1.3), la Cour, à l'instar du Tribunal, doit, d'office, examiner si le créancier est au bénéfice d'un titre de</w:t>
      </w:r>
    </w:p>
    <w:p>
      <w:r>
        <w:t>- 11/13 -</w:t>
      </w:r>
    </w:p>
    <w:p>
      <w:r>
        <w:t>C/8284/2017 mainlevée qui est exécutoire au sens de l'art. 80 al. 1 LP, soit en l'occurrence une sentence arbitrale.</w:t>
      </w:r>
    </w:p>
    <w:p>
      <w:r>
        <w:t>La recourante fait valoir que les parties n'ont pas conclu de convention d'arbitrage, de sorte qu'aucune sentence arbitrale n'a été rendue par un arbitre. De son côté, l'intimée soutient que les sentences produites sont exécutoires et que la recourante n'est pas fondée à contester leur existence. En particulier, elle allègue que la recourante n'a pas formé recours contre la sentence arbitrale et la sentence additionnelle, de sorte qu'elle est forclose à faire valoir ses griefs relatifs à la convention d'arbitrage.</w:t>
      </w:r>
    </w:p>
    <w:p>
      <w:r>
        <w:t>Ce raisonnement tombe à faux. En effet, comme l'a retenu le Tribunal fédéral, il existe des cas dans lesquels une non-décision peut exister ou qu'il faille présumer la nullité de la sentence, de sorte que ces questions doivent être prises en compte dans la procédure d'exécution forcée. Il convient dès lors de déterminer si les parties ont conclu une convention d'arbitrage.</w:t>
      </w:r>
    </w:p>
    <w:p>
      <w:r>
        <w:t>Il ressort du procès-verbal de la séance du 31 mars 2014, lors de laquelle des représentants de la recourante et de l'intimée étaient présents, que les parties ont nommé conjointement C______ comme expert. Ce dernier ainsi que D______ se sont déclarés d'accord de proposer aux parties une modalité de règlement du litige pour solde de tous comptes, une fois les travaux listés dans ledit procès-verbal terminés et réceptionnés. On cherche en vain dans ce document les termes "d'arbitrage", de "convention d'arbitrage" ou "d'arbitre". Au contraire, figure au bas de ce titre que D______ était médiateur. Il ne résulte pas non plus de cette pièce que les parties seraient convenues de nommer un unique arbitre, ni qu'elles auraient décidé d'exclure la juridiction étatique normalement compétente au profit de la juridiction privée, élément caractéristique et essentiel d'une convention d'arbitrage.</w:t>
      </w:r>
    </w:p>
    <w:p>
      <w:r>
        <w:t>Cette appréciation est encore renforcée par les termes mêmes utilisés par D______ dans le document qu'il a établi le 22 septembre 2015, celui-ci s'étant "proposé comme aimable (sic) compositeur entre les deux parties", suivi de "décision de l'amiable compositeur".</w:t>
      </w:r>
    </w:p>
    <w:p>
      <w:r>
        <w:t>Enfin, il n'est pas contesté que la recourante et D______, en sa qualité d'administrateur de l'intimée, ont requis, le 21 mars 2016, soit postérieurement à la "décision" susmentionnée, C______ de tenter de trouver une solution transactionnelle au litige opposant les parties.</w:t>
      </w:r>
    </w:p>
    <w:p>
      <w:r>
        <w:t>Il s'ensuit que les parties n'ont pas conclu de convention d'arbitrage, de sorte qu'aucune sentence arbitrale ne pouvait être rendue par un tribunal arbitral.</w:t>
      </w:r>
    </w:p>
    <w:p>
      <w:r>
        <w:t>Contrairement à ce que soutient l'intimée, en présence d'une non-décision, comme en l'espèce, la recourante n'avait aucun motif d'attaquer la "décision" de D______</w:t>
      </w:r>
    </w:p>
    <w:p>
      <w:r>
        <w:t>- 12/13 -</w:t>
      </w:r>
    </w:p>
    <w:p>
      <w:r>
        <w:t>C/8284/2017 du 22 septembre 2015, ni la "décision" additionnelle du 26 juillet 2016. Conformément à la jurisprudence du Tribunal fédéral rappelée ci-avant, dès lors que la sentence ne repose sur aucune convention d'arbitrage et qu'aucune procédure arbitrale n'a eu lieu, dite décision, de même que son complément, sont nuls puisqu'affectés de vices graves. Dans ce cadre, il importe peu que la Cour de justice ait délivré à l'intimée une attestation du caractère exécutoire de celles-ci, aucune procédure n'ayant eu lieu devant elle.</w:t>
      </w:r>
    </w:p>
    <w:p>
      <w:r>
        <w:t>Il s'ensuit que l'intimée ne dispose d'aucun titre de mainlevée définitive.</w:t>
      </w:r>
    </w:p>
    <w:p>
      <w:r>
        <w:rPr>
          <w:b/>
        </w:rPr>
        <w:t>E. 3.6</w:t>
      </w:r>
    </w:p>
    <w:p>
      <w:r>
        <w:t>Par conséquent, le recours est fondé, le jugement entrepris sera annulé et l'intimée sera déboutée de ses conclusions en mainlevée. 4. Lorsque l'autorité de recours statue à nouveau, elle se prononce sur les frais de première instance (art. 318 al. 3 CPC applicable par analogie; JEANDIN et al., Code de procédure civile commenté, Bâle 2011, n. 9 ad art. 327 CPC).</w:t>
      </w:r>
    </w:p>
    <w:p>
      <w:r>
        <w:t>L'intimée, qui succombe, sera condamnée aux frais des deux instances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Conformément à l'art. 48 OELP, le Tribunal a fixé l'émolument de première instance à 500 fr. L'émolument de la présente décision sera ainsi fixé à 750 fr. Ces frais de 1'250 fr. seront compensés par les avances de frais fournie par les parties, lesquelles sont acquises à l'Etat de Genève (art. 111 al. 1 CPC). L'intimée sera en conséquence condamnée à verser 750 fr. à la recourante à titre de remboursement de frais (art. 111 al. 2 CPC).</w:t>
      </w:r>
    </w:p>
    <w:p>
      <w:r>
        <w:t>L'intimée sera également condamnée à verser à la recourante la somme de 3'500 fr. à titre de dépens pour les deux instances, débours et TVA compris (art. 105 al. 2 CPC; art. 84, 85, 89 et 90 RTFMC; art. 23, 25 et 26 LaCC). * * * * *</w:t>
      </w:r>
    </w:p>
    <w:p>
      <w:r>
        <w:t>- 13/13 -</w:t>
      </w:r>
    </w:p>
    <w:p>
      <w:r>
        <w:t>C/8284/2017 PAR CES MOTIFS, La Chambre civile : A la forme : Déclare recevable le recours interjeté le 5 octobre 2017 par A______ contre le jugement JTPI/11757/2017 rendu le 21 septembre 2017 par le Tribunal de première instance dans la cause C/8284/2017-9 SML. Au fond : Annule ce jugement. Déboute B______ SA des fins de sa requête en mainlevée définitive de l'opposition formée au commandement de payer, poursuite n° 1______. Déboute les parties de toutes autres conclusions. Sur les frais des deux instances : Arrête les frais judiciaires de première et de seconde instance à 1'250 fr. et les compense avec les avances de frais, acquises à l'Etat de Genève, soit pour lui les Services financiers du Pouvoir judiciaire. Les met à la charge de B______ SA. Condamne en conséquence B______ SA à verser 750 fr. à ce titre à A______. Condamne B______ SA à verser 3'500 fr. à A______ à titre de dépens de première et de seconde instance.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