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ACJC/1007/2014 vom 7. Mai 2014</w:t>
      </w:r>
    </w:p>
    <w:p>
      <w:r>
        <w:t>GE Cour de justice, 2014-05-07, FR</w:t>
      </w:r>
    </w:p>
    <w:p>
      <w:r>
        <w:rPr>
          <w:b/>
        </w:rPr>
        <w:t xml:space="preserve">Quelle: </w:t>
      </w:r>
      <w:r>
        <w:t>https://mcp.opencaselaw.ch/entscheid/ge_gerichte_ACJC_1007_2014</w:t>
      </w:r>
    </w:p>
    <w:p>
      <w:r>
        <w:t>FR: GE_GERICHTE ACJC/1007/2014 du 7 mai 2014</w:t>
      </w:r>
    </w:p>
    <w:p>
      <w:r>
        <w:t>IT: GE_GERICHTE ACJC/1007/2014 del 7 maggio 2014</w:t>
      </w:r>
    </w:p>
    <w:p>
      <w:pPr>
        <w:pStyle w:val="Heading2"/>
      </w:pPr>
      <w:r>
        <w:t>Erwägungen</w:t>
      </w:r>
    </w:p>
    <w:p>
      <w:r>
        <w:rPr>
          <w:b/>
        </w:rPr>
        <w:t>E. 1.1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 prise (art. 142 al. 1 et 3, 251 let. a, 321 al. 2 CPC), est recevable.</w:t>
      </w:r>
    </w:p>
    <w:p>
      <w:r>
        <w:t>- 4/10 -</w:t>
      </w:r>
    </w:p>
    <w:p>
      <w:r>
        <w:t>C/23095/2013</w:t>
      </w:r>
    </w:p>
    <w:p>
      <w:r>
        <w:rPr>
          <w:b/>
        </w:rPr>
        <w:t>E. 1.2</w:t>
      </w:r>
    </w:p>
    <w:p>
      <w:r>
        <w:t>Dans le cadre d'un recours, le pouvoir d'examen de la Cour est limité à la vio- 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2.1</w:t>
      </w:r>
    </w:p>
    <w:p>
      <w:r>
        <w:t>Selon l'art. 326 al. 1 CPC, les conclusions, allégations de fait et preuves nou- velles sont irrecevables en procédure de recours. C'est sous réserve, notamment, des faits notoires (art. 151 CPC), qui ne doivent être ni allégués ni prouvés (ATF 135 III 88 cons. 4.1). Pour être notoire, un fait ne doit pas nécessairement être constamment à l'esprit : il suffit qu'il puisse être contrôlé par des publications accessibles à chacun (ATF 137 III 623 cons. 3). Il en va notamment ainsi, selon la jurisprudence du Tribunal fédéral, du taux de conversion des monnaies (même référence) ou des inscriptions figurant au Registre du commerce (arrêt du Tribunal fédéral 4A_261/2013 du 1er octobre 2013, consid. 4.3). Ces dernières sont en effet accessibles au public par internet, de telle sorte que leur connaissance doit être supposée.</w:t>
      </w:r>
    </w:p>
    <w:p>
      <w:r>
        <w:rPr>
          <w:b/>
        </w:rPr>
        <w:t>E. 2.2</w:t>
      </w:r>
    </w:p>
    <w:p>
      <w:r>
        <w:t>La recourante allègue en l'espèce, pour la première fois dans son mémoire de recours, que la faillite de l'intimé a été suspendue pour défaut d'actifs par juge- ment du Tribunal du 11 mars 2013. Cette allégation, certes nouvelle, est néan- moins recevable : elle résulte en effet de l'extrait du Registre du commerce relatif à l'entreprise exploitée en raison individuelle par l'intimé et, à ce titre, constitue un fait notoire que la recourante n'avait ni à alléguer ni à prouver.</w:t>
      </w:r>
    </w:p>
    <w:p>
      <w:r>
        <w:rPr>
          <w:b/>
        </w:rPr>
        <w:t>E. 2.3</w:t>
      </w:r>
    </w:p>
    <w:p>
      <w:r>
        <w:t>L'intimé produit pour sa part un certain nombre de pièces nouvelles relatives à sa situation financière, qu'il estime obérée, et aux poursuites précédemment intro- duites à son encontre par la recourante ou la société C______. Conformément à l'art. 326 al. 1 CPC, ces pièces sont irrecevables.</w:t>
      </w:r>
    </w:p>
    <w:p>
      <w:r>
        <w:rPr>
          <w:b/>
        </w:rPr>
        <w:t>E. 3</w:t>
      </w:r>
    </w:p>
    <w:p>
      <w:r>
        <w:t>La recourante reproche au Tribunal d'avoir considéré que sa créance était éteinte par l'ouverture de la faillite de l'intimé, avec pour conséquence que le jugement du Tribunal de district de Zurich du 11 mars 2008 ne valait plus titre de mainlevée.</w:t>
      </w:r>
    </w:p>
    <w:p>
      <w:r>
        <w:rPr>
          <w:b/>
        </w:rPr>
        <w:t>E. 3.1</w:t>
      </w:r>
    </w:p>
    <w:p>
      <w:r>
        <w:t>Selon l'art. 206 al. 1 première phrase LP, les poursuites dirigées contre le failli s'éteignent et aucune poursuite ne peut être faite durant la liquidation de la faillite pour des créances nées avant l'ouverture de la faillite. Le but poursuivi par cette disposition est d'assurer que l'ensemble des créanciers du failli au moment de la déclaration de faillite soient désintéressés en même</w:t>
      </w:r>
    </w:p>
    <w:p>
      <w:r>
        <w:t>- 5/10 -</w:t>
      </w:r>
    </w:p>
    <w:p>
      <w:r>
        <w:t>C/23095/2013 temps, dans les formes et mesures prévues par la loi. A cette fin, il convient d'éviter que, parallèlement à la faillite, mode d'exécution générale, des procédures d'exécution spéciale se poursuivent contre le failli, sous réserve des exceptions prévues par la loi (ATF 124 III 123 consid. 2; ROMY, in Commentaire romand, Poursuite et faillite, DALLEVES/FOËX/JEANDIN [éd.], 2005, n° 1 ad art. 206 LP; STÖCKLI et POSSA, in Kurzkommentar SchKG Schuldbetreibung und Kon- kursgesetz, Hunkeler [éd.], 2ème édition, 2014, n° 1 ad art. 206 LP). Dans le cadre de la liquidation de la faillite, les créances contre le failli nées avant l'ouverture de la faillite peuvent être produites (art. 232 al. 2 ch. 2 LP). Les créances produites sont vérifiées et, si elles sont admises, sont colloquées selon leur rang (art. 244, 245 et 247 LP). Les créances admises à l'état de collocation définitif participent, selon leur rang, à la répartition du produit de la réalisation des biens du failli (art. 261 à 264 LP). Si la créance n'est pas complètement payée, un acte de défaut de biens est délivré au créancier pour le montant impayé (art. 265 al. 1 LP). Ce document permet notamment au créancier de requérir le sé- questre, le débiteur pouvant pour sa part opposer à une nouvelle poursuite l'ex- ception de non-retour à meilleure fortune (art. 265 al. 2 LP). Les créances contre le failli nées avant l'ouverture de la faillite qui ne sont pas produites, et ne participent donc pas à la liquidation, ne sont pas éteintes pour autant : selon l'art. 267 LP, elles subsistent mais sont soumises aux mêmes restric- tions que celles pour lesquelles un acte de défaut de biens a été délivré, ce qui signifie notamment que le débiteur pourra opposer l'exception de non-retour à meilleure fortune dans le cadre d'une nouvelle poursuite (JEANDIN, in Com- mentaire romand, Poursuite et faillite, DALLEVES/FOËX/JEANDIN [éd.], 2005, n° 7 ad art. 267 LP). Ainsi, l'extinction des poursuites en cours contre le failli au moment de la décla- ration de faillite, prévue par l'art. 206 al. 1 LP, n'a pas pour conséquence l'extinc- tion des créances contre le failli nées avant la faillite : au contraire, dans le cadre d'une liquidation subséquente de la faillite, ces créances seront honorées en tout ou en partie et subsisteront, avec des restrictions, pour le montant impayé.</w:t>
      </w:r>
    </w:p>
    <w:p>
      <w:r>
        <w:rPr>
          <w:b/>
        </w:rPr>
        <w:t>E. 3.2</w:t>
      </w:r>
    </w:p>
    <w:p>
      <w:r>
        <w:t>Lorsque, après avoir procédé à l'inventaire des biens du failli (art. 221 LP), l'Office des faillites considère que la masse ne permettra probablement pas de couvrir les frais d'une liquidation sommaire (art. 231 LP), il sollicite du juge la suspension de la faillite (art. 230 al. 1 LP). La décision de suspension est publiée, et les créanciers sont informés que la faillite sera clôturée si, dans les dix jours, des sûretés correspondant aux frais de liquidation non couverts par la masse ne sont pas fournies (art. 230 al. 2 LP). Si aucun créancier ne fournit les sûretés requises, la faillite est clôturée ipso facto : une décision du juge clôturant la faillite n'a qu'un effet déclaratoire et la publication de la clôture par l'Office des faillites</w:t>
      </w:r>
    </w:p>
    <w:p>
      <w:r>
        <w:t>- 6/10 -</w:t>
      </w:r>
    </w:p>
    <w:p>
      <w:r>
        <w:t>C/23095/2013 n'est pas nécessaire (VOUILLOZ, in Commentaire romand, Poursuite et faillite, DALLEVES/FOËX/JEANDIN [éd.], 2005, n° 6 ad art. 230 LP). La suspension de la faillite a pour conséquence que celle-ci ne sera pas liquidée selon les art. 221 ss. LP, autrement dit qu'il n'y aura pas d'exécution générale por- tant sur l'ensemble du patrimoine du failli en faveur de l'ensemble des créanciers existant lors de la déclaration de faillite. La nécessité d'éviter la coexistence entre une voie d'exécution générale d'une part et des procédures parallèles d'exécution spéciale d'autre part, qui constitue le but de l'art. 206 al. 1 LP, n'existe donc plus. L'art. 230 al. 4 LP prévoit dès lors que les poursuites engagées avant l'ouverture de la faillite, éteintes en application de l'art. 206 al. 1 LP, renaissent après la sus- pension de la faillite. Bien que l'art. 230 al. 4 LP ne le dise pas expressément, il faut en déduire que l'impossibilité d'introduire des poursuites pour des créances nées avant l'ouverture de la faillite, également stipulée par l'art. 206 al. 1 LP pour les mêmes raisons que l'extinction des poursuites en cours, tombe elle aussi après la suspension de la faillite.</w:t>
      </w:r>
    </w:p>
    <w:p>
      <w:r>
        <w:rPr>
          <w:b/>
        </w:rPr>
        <w:t>E. 3.3</w:t>
      </w:r>
    </w:p>
    <w:p>
      <w:r>
        <w:t>Au vu des considérations qui précèdent, c'est à tort que le premier juge a retenu que la créance faisant l'objet de la poursuite s'était éteinte avec l'ouverture de la faillite. Aucune disposition légale ne prévoit une telle extinction, le but de la procédure de faillite étant au contraire de permettre aux créanciers du failli d'obtenir le paiement de leurs créances, et celles-ci subsistant pour leur part im- payée au terme de la procédure de faillite. Au moment de la déclaration de faillite, soit le ______ octobre 2012, la recourante n'avait pas encore engagé la poursuite faisant l'objet de la présente procédure : l'unique conséquence de l'art. 206 al. 1 LP a donc été pour elle l'impossibilité d'en- gager une procédure de poursuite contre l'intimé, puisque la créance dont elle dis- pose est née avant l'ouverture de la faillite. Cette impossibilité a toutefois pris fin avec la suspension de la faillite, ordonnée le 11 mars 2013 par le Tribunal : cette suspension a en effet entraîné, conformément à l'art. 230 al. 4 LP, la reprise des poursuites en cours contre le failli à l'ouverture de la faillite et la possibilité pour les personnes disposant à l'encontre du failli d'une créance née avant la déclaration de faillite d'engager des poursuites à son encontre.</w:t>
      </w:r>
    </w:p>
    <w:p>
      <w:r>
        <w:rPr>
          <w:b/>
        </w:rPr>
        <w:t>E. 3.4</w:t>
      </w:r>
    </w:p>
    <w:p>
      <w:r>
        <w:t>Contrairement à ce qu'a retenu le premier juge, l'art. 206 al. 1 LP ne fait ainsi pas obstacle à la poursuite engagée par la recourante contre l'intimé. Il convient donc d'examiner si les conditions au prononcé de la mainlevée définitive de l'op- position formée par l'intimé au commandement de payer notifié le 7 octobre 2013 sont réalisées.</w:t>
      </w:r>
    </w:p>
    <w:p>
      <w:r>
        <w:rPr>
          <w:b/>
        </w:rPr>
        <w:t>E. 4.1</w:t>
      </w:r>
    </w:p>
    <w:p>
      <w:r>
        <w:t>Aux termes de l'art. 80 al. 1 LP, le créancier qui est au bénéfice d'un jugement exécutoire peut requérir du juge la mainlevée définitive de l'opposition.</w:t>
      </w:r>
    </w:p>
    <w:p>
      <w:r>
        <w:t>- 7/10 -</w:t>
      </w:r>
    </w:p>
    <w:p>
      <w:r>
        <w:t>C/23095/2013 Le jugement doit être exécutoire, c'est-à-dire qu'il ne doit plus pouvoir être remis en cause par une voie de droit ordinaire, émaner d'un tribunal au sens de l'art. 122 al. 3 Cst, et condamner le poursuivi à payer une somme d'argent (SCHMIDT, in Commentaire romand, Poursuite et faillite, DALLEVES/FOËX/JEANDIN [éd.], 2005, nos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 lite, 1999, n. 13 ad art. 81 LP, arrêt du Tribunal fédéral 5P.174/2005 du 7 octobre 2005 consid. 2.1). La requête en mainlevée doit ainsi être rejetée lorsque la cause de l'obligation figurant sur le commandement de payer et dans le titre de main- 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 3; 131 III 87 consid. 3.2).</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 tions de droit matériel délicat ou pour la solution desquelles le pouvoir d'appré- ciation du juge joue un rôle important; ces questions relèvent exclusivement de la compétence du juge du fond (ATF 124 III 501 consid. 3a; 115 III 97 cons. 4b).</w:t>
      </w:r>
    </w:p>
    <w:p>
      <w:r>
        <w:rPr>
          <w:b/>
        </w:rPr>
        <w:t>E. 4.3</w:t>
      </w:r>
    </w:p>
    <w:p>
      <w:r>
        <w:t>Dans le cas d'espèce, le jugement rendu le 11 mars 2008 par le Tribunal de district de Zurich est exécutoire au sens de l'art. 80 al. 1 LP, ainsi qu'il résulte de l'apostille apposée sur sa première page. Il emporte condamnation de l'intimé à payer à la recourante les montants figurant aux rubriques 1 et 2 du comman- dement de payer notifié le 7 octobre 2013. Il vaut donc titre de mainlevée défini- tive. Pour sa part, l'intimé ne fait valoir aucun des moyens de défense énumérés à l'art. 81 al. 1 LP. Bien qu'il ait contesté le montant de la créance devant le premier</w:t>
      </w:r>
    </w:p>
    <w:p>
      <w:r>
        <w:t>- 8/10 -</w:t>
      </w:r>
    </w:p>
    <w:p>
      <w:r>
        <w:t>C/23095/2013 juge, il n'établit pas par titre s'être acquitté en tout ou en partie des montants qu'il a été condamné à payer. Le recours doit dès lors être admis et la mainlevée définitive de l'opposition for- mée par l'intimé au commandement de payer, poursuite n° 1______, prononcée à hauteur de 18'848 fr. 90 avec intérêts au taux de 5% l'an dès le 8 février 2007 pour le poste 1. Elle ne le sera en revanche pas pour le poste 2 du commandement de payer, la recourante n'y concluant pas dans son acte de recours.</w:t>
      </w:r>
    </w:p>
    <w:p>
      <w:r>
        <w:rPr>
          <w:b/>
        </w:rPr>
        <w:t>E. 5</w:t>
      </w:r>
    </w:p>
    <w:p>
      <w:r>
        <w:t>L'intimé, qui succombe, supportera les frais de la procédure, de première instance et de recours (art. 106 al. 1 CPC). Ceux-ci seront arrêtés à 1'000 fr. correspondant aux avances de frais déjà opérées (art. 48 et 61 al. 1 OELP). L'intimé remboursera au recourant le montant de 1'000 fr. Les dépens de première instance et de recours seront fixés à 2'000 fr., débours et TVA compris (art. 84, 85, 88 et 90 RTFMC; art. 25 et 26 LaCC; art. 25 al. 1 LTVA), étant précisé que le recourant n'a été représenté par un conseil que devant la Cour. * * * * *</w:t>
      </w:r>
    </w:p>
    <w:p>
      <w:r>
        <w:t>- 9/10 -</w:t>
      </w:r>
    </w:p>
    <w:p>
      <w:r>
        <w:t>C/23095/2013 PAR CES MOTIFS, La Chambre civile : A la forme : Déclare recevable le recours interjeté par A______ contre le jugement JTPI/5677/2014 rendu le 7 mai 2014 par le Tribunal de première instance dans la cause C/23095/2013-3 SML. Au fond : Annule le jugement entrepris. Cela fait : Prononce la mainlevée définitive de l'opposition formée au commandement de payer, poursuite n° 1______, à concurrence de 18'848 fr. 90 avec intérêts au taux de 5% l'an dès le 8 février 2007 (poste 1). Déboute les parties de toutes autres conclusions. Sur les frais de première instance et de recours : Arrête les frais judiciaires de première instance et de recours à 1'000 fr., compensés avec les avances de frais opérées par A______, acquises à l'Etat. Les met à la charge de B______. Condamne B______ à payer le montant de 1'000 fr. à A______ à titre de frais judiciaires. Condamne B______ à payer le montant de 2'000 fr. à A______ à titre de dépens pour la procédure de recours. Siégeant : Monsieur Patrick CHENAUX, président; Madame Fabienne GEISINGER- MARIETHOZ et Monsieur Ivo BUETTI, juges; Madame Céline FERREIRA, greffière.</w:t>
      </w:r>
    </w:p>
    <w:p>
      <w:r>
        <w:t>Le président : Patrick CHENAUX</w:t>
      </w:r>
    </w:p>
    <w:p>
      <w:r>
        <w:t>La greffière : Céline FERREIRA</w:t>
      </w:r>
    </w:p>
    <w:p>
      <w:r>
        <w:t>- 10/10 -</w:t>
      </w:r>
    </w:p>
    <w:p>
      <w:r>
        <w:t>C/23095/2013</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