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ACJC/1007/2009 vom 7. September 2009</w:t>
      </w:r>
    </w:p>
    <w:p>
      <w:r>
        <w:t>GE Cour de justice, 2009-09-07, FR</w:t>
      </w:r>
    </w:p>
    <w:p>
      <w:r>
        <w:rPr>
          <w:b/>
        </w:rPr>
        <w:t xml:space="preserve">Quelle: </w:t>
      </w:r>
      <w:r>
        <w:t>https://mcp.opencaselaw.ch/entscheid/ge_gerichte_ACJC_1007_2009</w:t>
      </w:r>
    </w:p>
    <w:p>
      <w:r>
        <w:t>FR: GE_GERICHTE ACJC/1007/2009 du 7 septembre 2009</w:t>
      </w:r>
    </w:p>
    <w:p>
      <w:r>
        <w:t>IT: GE_GERICHTE ACJC/1007/2009 del 7 settembre 2009</w:t>
      </w:r>
    </w:p>
    <w:p>
      <w:pPr>
        <w:pStyle w:val="Heading2"/>
      </w:pPr>
      <w:r>
        <w:t>Regeste</w:t>
      </w:r>
    </w:p>
    <w:p>
      <w:r>
        <w:t>Résumé: OBLIGATION D'ENTRETIEN DU BAILLEUR - PORTÉE SUR LES DÉPENDANCES L'obligation d'entretien du bailleur s'étend aussi aux dépendances (in casu une salle de jeux) mises à disposition du locataire à titre gratuit et à bien plaire, dans la mesure où elles sont comprises dans le loyer de l'appartement.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