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ACJC/1005/2015 vom 26. März 2015</w:t>
      </w:r>
    </w:p>
    <w:p>
      <w:r>
        <w:t>GE Cour de justice, 2015-03-26, FR</w:t>
      </w:r>
    </w:p>
    <w:p>
      <w:r>
        <w:rPr>
          <w:b/>
        </w:rPr>
        <w:t xml:space="preserve">Quelle: </w:t>
      </w:r>
      <w:r>
        <w:t>https://mcp.opencaselaw.ch/entscheid/ge_gerichte_ACJC_1005_2015</w:t>
      </w:r>
    </w:p>
    <w:p>
      <w:r>
        <w:t>FR: GE_GERICHTE ACJC/1005/2015 du 26 mars 2015</w:t>
      </w:r>
    </w:p>
    <w:p>
      <w:r>
        <w:t>IT: GE_GERICHTE ACJC/1005/2015 del 26 marzo 2015</w:t>
      </w:r>
    </w:p>
    <w:p>
      <w:pPr>
        <w:pStyle w:val="Heading2"/>
      </w:pPr>
      <w:r>
        <w:t>Erwägungen</w:t>
      </w:r>
    </w:p>
    <w:p>
      <w:r>
        <w:rPr>
          <w:b/>
        </w:rPr>
        <w:t>E. 1</w:t>
      </w:r>
    </w:p>
    <w:p>
      <w:r>
        <w:t>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w:t>
      </w:r>
    </w:p>
    <w:p>
      <w:r>
        <w:t>- 5/9 -</w:t>
      </w:r>
    </w:p>
    <w:p>
      <w:r>
        <w:t>C/3292/2015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 présente procédure a trait à une demande d'évacuation pour défaut de paie- ment, ainsi qu'à l'exécution directe de cette mesure. La valeur litigieuse corres- pond dès lors à la somme des loyers entre le moment du dépôt de l'appel ou du re- cours par les locataires et le moment où leur déguerpissement pourra vraisembla- blement être exécuté par la force publique, soit 20'475 fr. (loyer de 2'275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w:t>
      </w:r>
    </w:p>
    <w:p>
      <w:r>
        <w:rPr>
          <w:b/>
        </w:rPr>
        <w:t>E. 2.2</w:t>
      </w:r>
    </w:p>
    <w:p>
      <w:r>
        <w:t>L'appel et le recours, écrits et motivés, doivent être introduits auprès de la deuxième instance dans les trente jours à compter de la notification de la décision motivée (art. 311 al. 1 et 321 al. 1 CPC). Le délai est de dix jours pour les déci- sions prises en procédure sommaire (art. 314 al. 1 et 321 al. 2 CPC), ce qui est le cas des procédures en protection des cas clairs (art. 248 let. b et 257 CPC). L'acte du 10 avril 2015, formé dans le délai et la forme prescrits par la loi, est re- cevable.</w:t>
      </w:r>
    </w:p>
    <w:p>
      <w:r>
        <w:rPr>
          <w:b/>
        </w:rPr>
        <w:t>E. 2.3</w:t>
      </w:r>
    </w:p>
    <w:p>
      <w:r>
        <w:t>L'appel peut être formé pour violation du droit (art. 310 let. a CPC) et consta- tation inexacte des faits (art. 310 let. b CPC). L'instance d'appel dispose ainsi d'un plein pouvoir d'examen de la cause en fait et en droit (ATF 138 III 374 consid. 4.3.1).</w:t>
      </w:r>
    </w:p>
    <w:p>
      <w:r>
        <w:t>- 6/9 -</w:t>
      </w:r>
    </w:p>
    <w:p>
      <w:r>
        <w:t>C/3292/2015</w:t>
      </w:r>
    </w:p>
    <w:p>
      <w:r>
        <w:rPr>
          <w:b/>
        </w:rPr>
        <w:t>E. 2.4</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En l'espèce, les pièces 1, 2 et 4 déposées par l'intimée avec sa réponse sont posté- rieurs à la date de l'audience à l'issue de laquelle le Tribunal a gardé la cause à ju- ger. Elles sont donc recevables. En revanche, la correspondance électronique échangée entre les 17 et 21 mars 2015 (pièce 3 intimée) aurait pu être produite devant le Tribunal, et est ainsi irrecevable. Elle n'est de toute façon pas déter- minante pour la solution du litige.</w:t>
      </w:r>
    </w:p>
    <w:p>
      <w:r>
        <w:rPr>
          <w:b/>
        </w:rPr>
        <w:t>E. 3</w:t>
      </w:r>
    </w:p>
    <w:p>
      <w:r>
        <w:t>Les recourants font grief au Tribunal de ne pas avoir notifié la requête en éva- cuation de la bailleresse et la citation pour l'audience du 26 mars 2015 à B_____, personne concernée au sens de l'art. 136 CPC. Celui-ci avait appris par l'intermédiaire du conseil de son épouse la tenue de ladite audience et il avait ainsi pu s'organiser pour y participer. Toutefois, il n'avait pas pu se "préparer pour l'au- dience et y exercer convenablement son droit d'être entendu".</w:t>
      </w:r>
    </w:p>
    <w:p>
      <w:r>
        <w:rPr>
          <w:b/>
        </w:rPr>
        <w:t>E. 3.1</w:t>
      </w:r>
    </w:p>
    <w:p>
      <w:r>
        <w:t>Le droit d'être entendu, ancré à l'art. 29 al. 2 Cst en tant que garantie consti- tutionnelle minimale, se trouve réglé au niveau légal par l'art. 53 CPC, pour le do- maine d'application du CPC. La jurisprudence développée par le Tribunal fédéral en relation avec l'art. 29 al. 2 Cst doit aussi être prise en compte pour l'inter- prétation de cette disposition (arrêt du Tribunal fédéral 5A_465/2014 du 20 août 2014 consid. 5.1). Seul peut se prévaloir d'une violation du droit d'être entendu celui qu'elle concer- ne. Si en revanche la violation invoquée concerne des tiers, il ne peut pas la faire valoir, dès lors qu'il n'est pas titulaire du droit invoqué, ni n'a la légitimation pro- cédurale nécessaire (arrêt du Tribunal fédéral 1C_320/2011 du 30 mai 2012 consid. 4.3.1). L'art. 52 CPC impose aux plaideurs de se conformer aux règles de la bonne foi, dans le domaine de la procédure civile. Le tribunal notifie aux personnes concernées notamment les citations et les actes de la partie adverse (art. 136 let. a et c CPC). Les citations sont notifiées par envoi recommandé ou d'une autre manière contre accusé de réception (art. 138 al. 1 CPC). La garantie d'une citation régulière vise à sauvegarder le droit de chaque partie d'être entendue, soit de ne pas être condamnée sans avoir été mise en mesure de</w:t>
      </w:r>
    </w:p>
    <w:p>
      <w:r>
        <w:t>- 7/9 -</w:t>
      </w:r>
    </w:p>
    <w:p>
      <w:r>
        <w:t>C/3292/2015 défendre ses intérêts (ATF 117 Ib 347 consid. 2b/bb; arrêt du Tribunal fédéral 5P.24/2007 du 19 mars 2007 consid. 4.1). Les règles sur la notification prévues par le CPC (art. 136 ss) doivent être res- pectées (principe déduit du formalisme), mais leur violation ne sera pas sanc- tionnée si elle a atteint son but (tempérament tiré du principe de la bonne foi). Ainsi, une notification défectueuse produit ses effets si elle a atteint son but en dé- pit de l'irrégularité. Il convient de déterminer, dans chaque cas, si la partie inté- ressée a été réellement induite en erreur par l'irrégularité et a, de ce fait, subi un préjudice (BOHNET, Code de procédure civile commenté, BOHNET/HALDY/ JEANDIN/SCHWEIZER/TAPPY [éd.], 2011, n. 39 ad art. 52 CPC et les références ci- tées).</w:t>
      </w:r>
    </w:p>
    <w:p>
      <w:r>
        <w:rPr>
          <w:b/>
        </w:rPr>
        <w:t>E. 3.2</w:t>
      </w:r>
    </w:p>
    <w:p>
      <w:r>
        <w:t>En l'espèce, la société appelante n'est pas légitimée à se prévaloir d'une pré- tendue violation du droit d'être entendu de son associé gérant. Elle ne soutient pas qu'elle-même aurait été citée de manière irrégulière à l'audience du Tribunal, ou qu'elle n'aurait pas eu connaissance de la requête en évacuation. Par ailleurs, même si le Tribunal n'a envoyé qu'une seule citation au siège de la société, lequel constitue également l'adresse des deux associés gérants figurant sur le bail à loyer, ces derniers ont été atteints et ont comparu à l'audience tant en per- sonne qu'en qualité de représentants de la société. Ainsi, la citation a produit ses effets, en dépit du fait qu'elle n'avait pas été notifiée à tous les locataires. Par ailleurs, l'appelant B_____ a pu faire valoir ses arguments avant que le Tribunal ne rende sa décision. Il résulte de ses déclarations et de la pièce qu'il a produite lors de l'audience, qu'il savait que la procédure visait l'évacuation de la société des locaux en question, à la suite de la résiliation pour défaut de paiement du loyer. Il a admis que la société avait accumulé du retard et n'a pas contesté que l'arriéré n'avait pas été réglé dans le délai comminatoire. Il a exposé que le loyer était à jour à fin mars 2015, compte tenu du versement qu'il avait lui-même effec- tué le jour de l'audience. Enfin, il a indiqué que le magasin fonctionnait bien et a résumé sa situation personnelle et familiale. Il ne précise pas quels autres élé- ments il aurait voulu exposer afin "d'exercer convenablement son droit d'être entendu", ni en quoi le fait d'avoir été informé de la tenue de l'audience, à laquelle il a activement participé, par le conseil de son épouse l'aurait empêché de faire valoir d'autres arguments. Il apparaît ainsi qu'il n'a subi aucun préjudice du fait de l'informalité de sa citation, de sorte que son grief de violation du droit d'être entendu n'est pas fondé. Pour le surplus, les appelants ne font pas valoir que les conditions du cas clair ne seraient pas réalisées et ne critiquent pas les modalités d'exécution fixées par le Tribunal.</w:t>
      </w:r>
    </w:p>
    <w:p>
      <w:r>
        <w:t>- 8/9 -</w:t>
      </w:r>
    </w:p>
    <w:p>
      <w:r>
        <w:t>C/3292/2015 Le jugement attaqué sera donc confirmé.</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- 9/9 -</w:t>
      </w:r>
    </w:p>
    <w:p>
      <w:r>
        <w:t>C/3292/2015 PAR CES MOTIFS, La Chambre des baux et loyers : A la forme : Déclare recevable l'appel interjeté le 10 avril 2015 par A_____ et B_____ contre le jugement JTBL/390/2015 rendu le 26 mars 2015 par le Tribunal des baux et loyers dans la cause C/3292/2015-8 SE. Au fond : Confirme le jugement attaqué. Dit que la procédure est gratuite. Déboute les parties de toutes autres conclusions. Siégeant : Madame Pauline ERARD, présidente; Madame Sylvie DROIN, Monsieur Ivo BUETTI, juges;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