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ACAPJ/7/2023 vom 29. November 2023</w:t>
      </w:r>
    </w:p>
    <w:p>
      <w:r>
        <w:t>GE Cour de justice, 2023-11-29, FR</w:t>
      </w:r>
    </w:p>
    <w:p>
      <w:r>
        <w:rPr>
          <w:b/>
        </w:rPr>
        <w:t xml:space="preserve">Quelle: </w:t>
      </w:r>
      <w:r>
        <w:t>https://mcp.opencaselaw.ch/entscheid/ge_gerichte_ACAPJ_7_2023</w:t>
      </w:r>
    </w:p>
    <w:p>
      <w:r>
        <w:t>FR: GE_GERICHTE ACAPJ/7/2023 du 29 novembre 2023</w:t>
      </w:r>
    </w:p>
    <w:p>
      <w:r>
        <w:t>IT: GE_GERICHTE ACAPJ/7/2023 del 29 novembre 2023</w:t>
      </w:r>
    </w:p>
    <w:p>
      <w:pPr>
        <w:pStyle w:val="Heading2"/>
      </w:pPr>
      <w:r>
        <w:t>Erwägungen</w:t>
      </w:r>
    </w:p>
    <w:p>
      <w:r>
        <w:rPr>
          <w:b/>
        </w:rPr>
        <w:t>E. 1</w:t>
      </w:r>
    </w:p>
    <w:p>
      <w:r>
        <w:t>La loi sur la procédure administrative, du 12 septembre 1985 (LPA – E 5 10), est applicable aux procédures relevant de la compétence de la Cour de céans (art. 139 al. 1 de la loi sur l’organisation judiciaire, du 26 septembre 2010 [LOJ – E 2 05]).</w:t>
      </w:r>
    </w:p>
    <w:p>
      <w:r>
        <w:t>Le recours a été interjeté dans le délai et les formes prescrits par la loi (art. 62 al. 1 let. a, art. 64 al. 1 et art. 65 al. 1 et 2 LPA), auprès de la CAPJ, compétente pour statuer sur les recours dirigés contre les décisions du CSM (art. 138 let. a LOJ).</w:t>
      </w:r>
    </w:p>
    <w:p>
      <w:r>
        <w:rPr>
          <w:b/>
        </w:rPr>
        <w:t>E. 2</w:t>
      </w:r>
    </w:p>
    <w:p>
      <w:r>
        <w:t>Le CSM est l’autorité administrative de surveillance des magistrats du Pouvoir judiciaire (art. 15 LOJ), qui veille au bon fonctionnement des juridictions et s’assure notamment que les magistrats exercent leur charge avec dignité, rigueur, assiduité, diligence et humanité (art. 16 al. 1 et 2 LOJ).</w:t>
      </w:r>
    </w:p>
    <w:p>
      <w:r>
        <w:t>Les dénonciations dont il est saisi peuvent être classées par le président lorsqu’elles apparaissent manifestement mal fondées. Si le dénonciateur persiste dans son action, cette dernière est soumise au CSM, siégeant en séance plénière (art. 19 al. 2 LOJ).</w:t>
      </w:r>
    </w:p>
    <w:p>
      <w:r>
        <w:t>La décision du CSM est communiquée au dénonciateur pour information (art. 19 al. 5 LOJ).</w:t>
      </w:r>
    </w:p>
    <w:p>
      <w:r>
        <w:rPr>
          <w:b/>
        </w:rPr>
        <w:t>E. 3</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 celle-ci soit annulée ou modifiée (let. b).</w:t>
      </w:r>
    </w:p>
    <w:p>
      <w:r>
        <w:t>- 3 -</w:t>
      </w:r>
    </w:p>
    <w:p>
      <w:r>
        <w:t>CAPJ 4_2023</w:t>
      </w:r>
    </w:p>
    <w:p>
      <w:r>
        <w:t>L’intérêt digne de protection consiste en l’utilité pratique que l’admission du recours apporterait au recourant, en lui évitant de subir un préjudice de nature économique, idéale, matérielle ou autre que la décision attaquée lui occasionnerait. L’existence d’un intérêt digne de protection présuppose que la situation de fait ou de droit du recourant puisse être influencée par l’annulation ou la modification de la décision attaquée, ce qu’il lui appartient d’établir (ACAPJ/11/2022 du 3 août 2022, ainsi que les jurisprudences citées).</w:t>
      </w:r>
    </w:p>
    <w:p>
      <w:r>
        <w:rPr>
          <w:b/>
        </w:rPr>
        <w:t>E. 4</w:t>
      </w:r>
    </w:p>
    <w:p>
      <w:r>
        <w:t>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w:t>
      </w:r>
    </w:p>
    <w:p>
      <w:r>
        <w:t>Par conséquent, dans une procédure non contentieuse, la seule qualité de plaignant ou de dénonciateur ne donne pas le droit de recourir contre la décision prise ; le plaignant ou le dénonciateur doit encore pouvoir invoquer un intérêt digne de protection à ce que l’autorité de surveillance intervienne.</w:t>
      </w:r>
    </w:p>
    <w:p>
      <w:r>
        <w:t>Celui qui introduit une procédure disciplinaire ne possède aucun droit à recevoir une décision sujette à recours, de sorte que, s’il n’y est pas donné suite, il n’est pas atteint dans ses intérêts personnels. Le fait que la décision de l’autorité disciplinaire soit susceptible d’avoir une incidence sur une procédure à laquelle le dénonciateur est partie ne permet pas non plus de considérer que celui-ci est directement touché dans ses droits et obligations.</w:t>
      </w:r>
    </w:p>
    <w:p>
      <w:r>
        <w:t>En résumé, le refus de donner suite à une dénonciation ne peut faire l’objet d’aucun recours, puisque le dénonciateur n’agit dans ce cadre que comme auxiliaire de l’autorité en déclenchant la procédure. Ces principes ont été appliqués a des procédures disciplinaires visant notamment des notaires, des avocats et des magistrats du pouvoir judiciaire (ACAPJ/11/2022 précité).</w:t>
      </w:r>
    </w:p>
    <w:p>
      <w:r>
        <w:rPr>
          <w:b/>
        </w:rPr>
        <w:t>E. 5</w:t>
      </w:r>
    </w:p>
    <w:p>
      <w:r>
        <w:t>a. Selon l’art. 62 al. 6 LPA, une partie peut recourir en tout temps pour déni de justice ou retard non justifié si l’autorité concernée ne donne pas suite rapidement à la mise en demeure prévue à l’art. 4 al. 4 de cette loi. Lorsqu’une autorité mise en demeure refuse sans droit de statuer ou tarde à se prononcer, son silence est assimilé à une décision (art. 4 al. 4 LPA).</w:t>
      </w:r>
    </w:p>
    <w:p>
      <w:r>
        <w:t>Pour pouvoir se plaindre de l’inaction de l’autorité, encore faut-il que l’administré ait effectué toutes les démarches adéquates en vue de l’obtention de la décision qu’il sollicite. Les conclusions en déni de justice sont irrecevables lorsque le recourant n’a pas procédé à la mise en demeure prévue à l’art. 4 al. 4 LPA (ATA/590/2023 du 6 juin 2023 consid. 3.1 et les jurisprudences citées).</w:t>
      </w:r>
    </w:p>
    <w:p>
      <w:r>
        <w:t>b. En l’espèce, le délai entre la saisine du CSM et le dépôt du recours pour déni de justice est de 70 jours, dont une grande partie a couru pendant la période estivale. Il n’est pas en soi suffisamment long pour constituer un retard injustifié. De plus, le dénonciateur n’a pas mis en demeure l’autorité intimée.</w:t>
      </w:r>
    </w:p>
    <w:p>
      <w:r>
        <w:rPr>
          <w:b/>
        </w:rPr>
        <w:t>E. 6</w:t>
      </w:r>
    </w:p>
    <w:p>
      <w:r>
        <w:t>Au vu de ce qui précède, le recours sera déclaré irrecevable, sans qu’il ne soit nécessaire de trancher la question de la qualité pour agir d’un dénonciateur se plaignant d’un retard injustifié, en particulier au regard du droit à la communication, pour information, de la décision prononcée par le CSM.</w:t>
      </w:r>
    </w:p>
    <w:p>
      <w:r>
        <w:t>- 4 -</w:t>
      </w:r>
    </w:p>
    <w:p>
      <w:r>
        <w:t>CAPJ 4_2023</w:t>
      </w:r>
    </w:p>
    <w:p>
      <w:r>
        <w:t>Vu l’issue du litige, un émolument de CHF 500.- sera mis à la charge du recourant qui succombe (art. 87 al. 1 LPA), et il ne sera pas alloué d’indemnité de procédure (art. 87 al. 2 LPA).</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