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AARP/9/2026 vom 6. Januar 2026</w:t>
      </w:r>
    </w:p>
    <w:p>
      <w:r>
        <w:t>GE Cour de justice, 2026-01-06, FR</w:t>
      </w:r>
    </w:p>
    <w:p>
      <w:r>
        <w:rPr>
          <w:b/>
        </w:rPr>
        <w:t xml:space="preserve">Quelle: </w:t>
      </w:r>
      <w:r>
        <w:t>https://mcp.opencaselaw.ch/entscheid/ge_gerichte_AARP_9_2026</w:t>
      </w:r>
    </w:p>
    <w:p>
      <w:r>
        <w:t>FR: GE_GERICHTE AARP/9/2026 du 6 janvier 2026</w:t>
      </w:r>
    </w:p>
    <w:p>
      <w:r>
        <w:t>IT: GE_GERICHTE AARP/9/2026 del 6 gennaio 2026</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de la Convention européenne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w:t>
      </w:r>
    </w:p>
    <w:p>
      <w:r>
        <w:t>- 5/22 - P/592/2025 personne déterminée sur la base de faits précisément décrits. Il doit décrire les infractions qui sont imputées au prévenu de façon suffisamment précise pour lui permettre d'apprécier, sur les plans objectif et subjectif,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w:t>
      </w:r>
    </w:p>
    <w:p>
      <w:r>
        <w:rPr>
          <w:b/>
        </w:rPr>
        <w:t>E. 2.3</w:t>
      </w:r>
    </w:p>
    <w:p>
      <w:r>
        <w:t>Enfreint l'art. 19 al. 1 let. c LStup celui qui, sans droit, aliène ou prescrit des stupéfiants, en procure de toute autre manière à un tiers ou en met dans le commerce. 2.4.1. En l'espèce, le fait que l'acte d'accusation ne date pas plus précisément la transaction de décembre 2024 n'a pas empêché l'appelant de préparer efficacement sa défense. L'acte d'accusation contient l'ensemble des faits pertinents sous l'angle de l'art. 19 al. 1 let. c LStup et décrit d'une manière suffisamment claire et précise le fait imputé à l'intéressé, de sorte que ce dernier ne pouvait avoir de doutes sur le comportement reproché. Partant, la maxime d'accusation n'a pas été violée.</w:t>
      </w:r>
    </w:p>
    <w:p>
      <w:r>
        <w:t>- 7/22 - P/592/2025 2.4.2. L'accusation repose uniquement sur les déclarations d'un toxicomane qui n'a pas été confronté à l'appelant. Ce dernier n'a ainsi jamais eu l'occasion de mettre en doute sa parole. Il a toujours contesté la matérialité des faits de décembre 2024. Le procès- verbal manuscrit dudit témoin ne fait état d'aucune date de transaction en décembre 2024 et se limite à l'indication "une fois". Il en découle que la transaction ne pouvait être datée de manière certaine. Les réfutations de l'appelant, combinées à l'incertitude sur la date, alors qu'il affirmait n'être arrivé en Suisse que le 29 décembre 2024, auraient dû conduire le MP à procéder à une audition contradictoire, en respect du droit du prévenu d'interroger le témoin à charge. Le droit à une confrontation était absolu au vu de l'importance que revêtaient ces déclarations, quand bien même un manquement n'a finalement été invoqué qu'en appel. Ainsi, la culpabilité de l'appelant ne saurait reposer sur les seules déclarations du témoin, retranscrites dans un procès- verbal manuscrit, inexploitables. La Cour aurait certes la possibilité d'entendre le témoin. Au vu du temps écoulé depuis les faits, soit une année, il est très peu probable que ce dernier, consommateur régulier, ait conservé un souvenir précis du fait reproché, alors que le MP, qui supporte le fardeau de la preuve, n'a ordonné puis sollicité aucune mesure d'instruction. La Cour renonce ainsi à cette audition. Dès lors, sans le témoignage incriminant, aucun élément ne permet d'établir la culpabilité de l'appelant. Il sera donc acquitté d'infraction à l'art. 19 al. 1 let. c LStup telle que décrite sous chiffre 1.1.1 de l'acte d'accusation et le jugement entrepris réformé en ce sens. 3. 3.1.1. L'art. 33 al. 1 let. a LArm punit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3.1.2. Selon l'alinéa 2 de ce même article, s'il agit par négligence, l'auteur est puni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3.1.3. Selon l'art. 12 al. 2 CP, agit intentionnellement quiconque commet un crime ou un délit avec conscience et volonté. L'auteur agit déjà intentionnellement lorsqu'il tient pour possible la réalisation de l'infraction et l'accepte au cas où celle-ci se produirait (dol éventuel).</w:t>
      </w:r>
    </w:p>
    <w:p>
      <w:r>
        <w:t>- 8/22 - P/592/2025 3.1.4. Sont notamment des armes au sens de l'art. 4 al. 1 LArm, les engins conçus pour porter durablement atteinte à la santé de l'être humain par pulvérisation ou par vaporisation de substances (let. b). À teneur de l'art. 1a de l'ordonnance sur les armes (OArm), les sprays d'autodéfense contenant les substances irritantes visées dans l'annexe 2 sont considérés comme des armes. Selon l'annexe 2 de l'OArm, la substance CS (o-chloro-benzylidène- malononitrile) est réputée irritante. Si une arme a été acquise à l'étranger, même légalement, son intégration sur le territoire suisse à titre non professionnel implique l'obtention d'une autorisation (art. 25 al. 1 LArm). La LArm a pour objectif de lutter contre l'utilisation abusive d'armes, d'accessoires d'armes et de munitions, c'est-à-dire de protéger l'ordre public, ainsi que la sécurité des personnes et des biens, par un contrôle accru de l'achat et du port d'armes individuelles ; en outre, elle cherche à prévenir le risque de fausses manipulations, afin d'éviter, autant que faire se peut, toute utilisation dangereuse pour le détenteur lui- même ou pour autrui (arrêts du Tribunal fédéral 6B_650/2022 du 12 décembre 2024 [destiné à la publication] consid. 3.1.1 ; 6B_227/2007 du 5 octobre 2007 consid. 6.1.2). L'art. 33 al. 1 let. a LArm est une infraction de mise en danger abstraite pour laquelle il est admis que l'acte en lui-même est tenu pour dangereux et doit être puni comme tel, sans exiger que le danger se soit effectivement manifesté (arrêt du Tribunal fédéral 6B_650/2022 du 12 décembre 2024 [destiné à la publication] consid. 3.2). Les articles 33 et 34 LArm jouent ainsi un rôle essentiel en concrétisant sur le plan pénal le but poursuivi par la législation suisse sur les armes. Or, la seule introduction sur le territoire souverain suisse d'une arme sans autorisation constitue déjà un danger abstrait pour la sécurité publique. 3.2.1. Conformément à l'art. 21, première phrase, CP, quiconque ne sait ni ne peut savoir au moment d'agir que son comportement est illicite n'agit pas de manière coupable. 3.2.2. L'erreur sur l'illicéité porte sur la connaissance du caractère illégal de son comportement par l'auteur, il suffit donc qu'il ait su ou pu savoir que son comportement était prohibé pour qu'elle soit exclue (ATF 150 IV 10 consid. 4.7.2 ; 141 IV 336 consid. 2.4.3 ; 138 IV 13 consid. 8.3 ; arrêt du Tribunal fédéral 6B_804/2018 du 4 décembre 2018 consid. 3.2). Le seul fait qu'une personne dans l'erreur ait théoriquement pu éviter celle-ci en se renseignant, n'exclut pas nécessairement l'application de l'art. 21 CP (ATF 116 IV 56 consid. II.3.a). Cependant, si l'auteur d'une infraction se trouvait dans l'erreur mais qu'une personne consciencieuse placée dans la même situation aurait su éviter celle-ci, il n'existe alors pas d'erreur sur l'illicéité stricto sensu (ATF 104 IV 217 consid. 3a ; 99 IV 185 consid. 3a ; arrêts du Tribunal fédéral 6B_538/2022 du 9 septembre 2022 consid. 2.1.3 ; 6B_1008/2021 du 9 novembre 2021 consid. 1.3.2). Dans un tel cas, il existe une "erreur évitable sur l'illicéité" qui, si elle</w:t>
      </w:r>
    </w:p>
    <w:p>
      <w:r>
        <w:t>- 9/22 - P/592/2025 n'a pas d'influence sur la punissabilité du comportement de l'auteur, constitue une circonstance atténuante impérative, selon l'art. 21, deuxième phrase, CP (AARP/131/2025 du 3 avril 2025 consid. 2.1.2). Une erreur sur l'illicéité est en revanche exclue lorsque l'auteur savait que son action ou son omission était contraire au droit mais ignorait la qualification juridique de son comportement (ATF 148 IV 298 consid. 7.6). 3.2.3.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c'est-à-dire lorsqu'aucun reproche ne peut lui être adressé parce que son erreur provient de circonstances qui auraient pu induire en erreur tout homme consciencieux. Peut être pris en considération le fait que l'auteur a été précédemment acquitté pour des actes semblables et cela quand bien même un représentant du Ministère public lui aurait fait savoir avant la seconde infraction que lui-même et l'autorité administrative désapprouvaient cet acquittement. En revanche, celui dont l'erreur sur l'illicéité est évitable commet une faute, mais sa culpabilité est diminuée. Il restera punissable, mais verra sa peine obligatoirement atténuée (art. 21, deuxième phrase, CP). L'erreur sera notamment considérée comme évitable lorsque l'auteur avait ou aurait dû avoir des doutes quant à l'illicéité de son comportement ou s'il a négligé de s'informer suffisamment alors qu'il savait qu'une réglementation juridique existait (arrêt du Tribunal fédéral 6B_428/2021 du 18 novembre 2021 consid. 2.1). 3.3.1. En l'espèce, il est établi, et non contesté par l'appelant – quand bien même "aucune photographie ou description précise (…) n'est versée au dossier" (cf. mémoire d'appel motivé, p. 6) –, que le spray d'autodéfense CS saisi le 28 janvier 2025 est une arme au sens du droit suisse, détenue sans autorisation. L'appelant ne saurait être suivi lorsqu'il soutient que l'élément intentionnel ferait défaut, dès lors qu'il a lui-même admis avoir détenu ce pulvérisateur pour se défendre de toute potentielle agression. Il était conscient qu'il ne s'agissait pas d'un objet anodin et que celui-ci pouvait être dangereux. Il n'a, a minima, pu qu'envisager et accepter qu'il possédait une arme. Force est donc d'admettre que l'appelant se trouvait en possession, avec conscience et volonté, à tout le moins par dol éventuel, d'une arme, dans le but avoué de pouvoir en faire un éventuel usage défensif. Il n'avait pas, à cet égard, de perception erronée de la réalité (cf. art. 13 CP), de sorte que les éléments constitutifs objectifs et subjectifs de l'infraction à l'art. 33 al. 1 let. a LArm sont réunis. L'infraction étant réalisée intentionnellement, l'alternative de la négligence ne saurait entrer en considération.</w:t>
      </w:r>
    </w:p>
    <w:p>
      <w:r>
        <w:t>- 10/22 - P/592/2025 3.3.2. Cela étant, il convient encore de déterminer si l'appelant peut se prévaloir d'une erreur sur l'illicéité, puisqu'il affirme avoir ignoré le caractère prohibé du dispositif en question. Les déclarations du prévenu quant à l'obtention de cette arme ont été inconstantes. Il a successivement déclaré qu'un ami lui en avait fait cadeau, qu'il l'avait acquis lui-même, puis qu'en réalité l'achat avait été réalisé par le premier. Ce n’est par ailleurs que lors de l’audience de première instance qu’il a affirmé que l'acquisition était survenue en pharmacie, prétendument en France selon ses précédentes allégations. Face à ces revirements qui remettent en cause la crédibilité de son récit, il est hautement douteux qu'il ait été sous l'emprise d'une erreur sur l'illicéité. Quoi qu'il en soit, à supposer que l'appelant était en proie à une telle erreur, il ne s’est à aucun moment renseigné sur la licéité de la détention du spray d'autodéfense CS – laquelle était naturellement sujette à caution vu l'usage auquel il était destiné –, alors même que cela pouvait raisonnablement être attendu de lui. Aucun élément ne l'autorisait à conclure qu'il était en droit de conserver cette arme sur le territoire helvétique sans s'enquérir de sa licéité, son achat à l'étranger n'en constituant en aucun cas une garantie. Il lui appartenait de recueillir les informations nécessaires, celles-ci étant aisément accessibles en ligne ou auprès des services compétents. Son erreur aurait ainsi été manifestement évitable. Partant, c'est à bon droit que le premier juge a reconnu l'appelant coupable d'infraction à l'art. 33 al. 1 let. a LArm, ce qui emporte le rejet de son appel sur ce point. 4. 4.1. Les infractions aux art. 19 al. 1 let. c et d LStup, 33 al. 1 let. a LArm et 119 al. 1 LEI sont punies d’une peine privative de liberté de trois ans au plus ou d’une peine pécuniaire. Le séjour illégal (art. 115 al. 1 let. b LEI) est passible d'une peine privative de liberté d'un an au plus ou d'une peine pécuniaire.</w:t>
      </w:r>
    </w:p>
    <w:p>
      <w:r>
        <w:t>4.2.1.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w:t>
      </w:r>
    </w:p>
    <w:p>
      <w:r>
        <w:t>- 11/22 - P/592/2025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Le jeune âge n'impose pas, à lui seul, une réduction de peine.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4.3.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135 IV 130 consid. 5.3.3 ; arrêt du Tribunal fédéral 6B_1295/2020 du 26 mai 2021 consid. 7). La culpabilité de l'auteur se détermine selon les règles générales de l'art. 47 CP (ATF 146 IV 297 consid. 2.3 ; 135 IV 130 consid. 5.3.3), mais aussi selon d'autres critères, comme le principe de la célérité ou d'autres motifs d'atténuation de la peine indépendants de la faute tels que l'écoulement du temps depuis la commission de l'infraction (ATF 135 IV 130 consid. 5.4). 4.4. En vertu de l'art. 41 CP, le juge peut prononcer une peine privative de liberté en lieu et place d'une peine pécuniaire, notamment si une peine privative de liberté paraît justifiée pour détourner l'auteur d'autres crimes ou délits (let. a).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 du Tribunal fédéral 6B_855/2023 du 15 juillet 2024 consid. 2.2.2). 4.5. Aux termes de l'art. 49 al. 1 CP, si, en raison d'un ou de plusieurs actes, l'auteur remplit les conditions de plusieurs peines de même genre, le juge le condamne à la peine de l'infraction la plus grave et l'augmente dans une juste proportion. Il ne peut</w:t>
      </w:r>
    </w:p>
    <w:p>
      <w:r>
        <w:t>- 12/22 - P/592/2025 toutefois excéder de plus de la moitié le maximum de la peine prévue pour cette infraction. Il est en outre lié par le maximum légal de chaque genre de peine. Dans un premier temps, le juge fixe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4.6.1.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4.6.2.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w:t>
      </w:r>
    </w:p>
    <w:p>
      <w:r>
        <w:t>- 13/22 - P/592/2025</w:t>
      </w:r>
    </w:p>
    <w:p>
      <w:r>
        <w:t>4.7.1. En l'espèce, la faute de l'appelant n'est pas négligeable. Il a en effet persisté à séjourner dans le canton de Genève, faisant ainsi fi de l'interdiction de pénétrer sur ledit territoire qui lui avait été notifiée et ce alors même qu'il avait été condamné pour des faits similaires. Comme déjà retenu par la CPAR (cf. AARP/329/2023 du 4 septembre 2023 consid 3.2.1 ; AARP/64/2023 du 20 janvier 2023 consid. 4.3), il ne faut pas sous-estimer le préjudice du séjour illégal pour la collectivité, y compris sur le plan matériel, puisque cela mobilise constamment les nombreux acteurs appelés à le réprimer. En s'adonnant au trafic de cocaïne, y compris pour une faible quantité, il a également contribué au fléau que représente la consommation de cette substance pour la santé publique. Il a agi par appât d'un gain facile, étant souligné que sa dernière interpellation ne l'a pas dissuadé de récidiver. De plus, il s'est rendu coupable d'infraction à la LArm. Par son comportement, il a ainsi porté atteinte à différents biens juridiques protégés. Sa collaboration à la procédure doit être qualifiée de moyenne. Il ne pouvait que difficilement nier sa culpabilité d'infractions à la LEI et à la LStup vu les circonstances de ses arrestations. Sa situation personnelle difficile et son jeune âge ne justifient pas son comportement. Il n'évoque pas d'immaturité particulière ni de diminution de sa capacité d'appréciation du caractère illicite de ses actes. La précarité de ses conditions de vie en Suisse résulte en outre de son seul entêtement à vouloir y demeurer alors qu'il n'y a aucune perspective de situation stable. À le suivre, il aurait pourtant la possibilité de rejoindre sa sœur en France et de bénéficier du soutien de cette dernière. Malgré son jeune âge, qu'il met en avant, l'appelant a de nombreux antécédents spécifiques en matière d'infractions à la LEI et à la LStup. Il a récidivé, à pas moins de six reprises, pour des peines privatives de liberté allant d'un à 120 jours, avec sursis pour la première et la dernière, ce qui démontre que ses condamnations n'ont pas suffi à le détourner de la commission d'actes similaires. Sa prise de conscience n'est qu'amorcée. Ses excuses paraissent de circonstance. Il y a concours d'infractions, ce qui justifie une augmentation de la peine dans une juste proportion. Au vu de ce qui précède, les buts de prévention spéciale ne peuvent pas être atteints par le prononcé d'une peine pécuniaire, ce d'autant qu'une telle peine serait manifestement irrécouvrable. L'appelant ne dispose pas d'un revenu légal ni d'un emploi. Son allégation selon laquelle il pourrait bénéficier de "l'aide de proches" (cf. mémoire d'appel motivé, p. 10) n'est pas étayée. Tous ces éléments commandent de confirmer le prononcé d'une peine privative de liberté pour les infractions à la LStup, à la LEI et à la LArm.</w:t>
      </w:r>
    </w:p>
    <w:p>
      <w:r>
        <w:t>- 14/22 - P/592/2025 4.7.2. La peine pécuniaire de 20 jours-amende, à CHF 10.- l'unité, prononcée par le premier juge, pour l'infraction à l'art. 286 CP, n'est pas contestée et sera confirmée, étant adéquate. 4.7.3. L'appelant a commis les infractions visées par la présente procédure pendant le délai d'épreuve de la condamnation du 17 janvier 2025, dont le sursis doit, au vu de la réitération d'actes de même nature et du pronostic défavorable qui en découle, être révoqué. La peine révoquée et la nouvelle peine étant du même genre, une peine d'ensemble sera fixée. 4.7.4. L’art. 52 CP ne s’applique que si le comportement de l’auteur apparaît négligeable par rapport à d’autres actes tombant sous le coup de l’art. 33 al. 1 let. a LArm, ce qui n’est pas le cas en l’espèce. Étant rappelé que la LArm a pour objectif de lutter contre l’utilisation abusive d’armes (art. 1 LArm) et eu égard au risque concret qu’implique la détention d’une arme prohibée, même non utilisée, le comportement de l’appelant n'est pas sans conséquence pour l'ordre juridique. D'une part, il participe à la banalisation de la détention d'armes, interdites en Suisse sans autorisation. D'autre part, selon sa représentation (potentielle utilisation défensive), il ne semble pas s'être rendu compte du danger pour la sécurité publique, qui ne saurait être considérée de peu d'importance. 4.7.5. Les délits à la LStup (art. 19 al. 1 let. c et d), à la LArm (art. 33 al. 1 let. a) et la violation de l'interdiction de pénétrer dans une région déterminée (art. 119 al. 1 LEI) sont abstraitement d'égale gravité. Ils emportent une peine privative de liberté de l'ordre de 150 jours, laquelle constitue la peine de base (peine de base de 40 jours pour les infractions à la LStup [peine hypothétique : 60 jours], aggravée de 20 jours pour chacune des cinq occurrences à l'art. 119 al. 1 LEI [peine hypothétique : 40 jours pour chaque occurrence] et de 10 jours pour celle à la LArm [peine hypothétique : 20 jours]). Cette peine doit être augmentée de 30 jours (peine hypothétique : 60 jours) pour le séjour illégal – délit continu – qui ne découle pas d'une intention délictuelle différente de celle sanctionnée le 17 janvier 2025 et qui tient dès lors compte de ladite peine. La quotité de la peine est ainsi fixée à 180 jours. Il se justifie d'ajouter à cette peine 80 jours supplémentaires pour tenir compte de celle du 17 janvier 2025 dont le sursis est révoqué (120 jours), ce qui conduit au prononcé d'une peine privative de liberté d'ensemble de 260 jours. Le jugement de première instance sera modifié en ce sens. La détention subie avant jugement en sera retranchée (art. 51 CP). 4.7.6. Seul un pronostic défavorable peut être posé au vu de la prise de conscience limitée de l'appelant et de l'absence d'un projet de vie sérieux permettant de le tenir durablement à l'écart de la récidive. Il n'a pas su tirer profit de la chance qui lui a été offerte, récidivant dans le délai d'épreuve du sursis octroyé le 17 janvier 2025, ce qui reflète un ancrage dans la délinquance. Il ne saurait ainsi être mis au bénéfice du sursis.</w:t>
      </w:r>
    </w:p>
    <w:p>
      <w:r>
        <w:t>- 15/22 - P/592/2025</w:t>
      </w:r>
    </w:p>
    <w:p>
      <w:r>
        <w:rPr>
          <w:b/>
        </w:rPr>
        <w:t>E. 5</w:t>
      </w:r>
    </w:p>
    <w:p>
      <w:r>
        <w:t>ss ; G. MÜNCH / F. DE WECK, Die neue Landesverweisung, in Art. 66a ff. StGB, Revue de l'avocat 2016, p. 166 ; M. BUSSLINGER / P. UEBERSAX, Härtefallklausel und migrationsrechtliche Auswirkungen der Landesverweisung, cahier spécial, Plaidoyer 5/2016,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w:t>
      </w:r>
    </w:p>
    <w:p>
      <w:r>
        <w:t>- 16/22 - P/592/2025 5.2.2.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w:t>
      </w:r>
    </w:p>
    <w:p>
      <w:r>
        <w:rPr>
          <w:b/>
        </w:rPr>
        <w:t>E. 5.1</w:t>
      </w:r>
    </w:p>
    <w:p>
      <w:r>
        <w:t>Conformément à l'art. 66abis CP, le juge peut expulser un étranger du territoire suisse pour une durée de trois à quinze ans si, pour un crime ou un délit non visé à l'art. 66a, celui-ci a été condamné à une peine. 5.2.1.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Le juge doit faire une pesée des intérêts entre celui public à l'éloignement et la situation personnelle du condamné (G. FIOLKA / L. VETTERLI, Landesverweisung nach Art. 66a StGB als strafrechtliche Sanktion, cahier spécial, Plädoyer 5/16,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w:t>
      </w:r>
    </w:p>
    <w:p>
      <w:r>
        <w:rPr>
          <w:b/>
        </w:rPr>
        <w:t>E. 5.3</w:t>
      </w:r>
    </w:p>
    <w:p>
      <w:r>
        <w:t>Compte tenu des ravages de la drogue dans la population, les autorités sont fondées à faire preuve d'une grande fermeté à l'encontre de ceux qui contribuent à la propagation de ce fléau, ce qui rend importants les intérêts présidant à leur expulsion (arrêts CourEDH K.M. c. Suisse du 2 juin 2015 [requête no 6009/10] § 55 ; Dalia c. France du 19 février 1998, Recueil CourEDH 1998-I 76 § 54 ; arrêts du Tribunal fédéral 6B_1192/2018 du 23 janvier 2019 consid. 2.2.3 et 6B_1421/2019 du 12 février 2020 consid. 1.4.2).</w:t>
      </w:r>
    </w:p>
    <w:p>
      <w:r>
        <w:rPr>
          <w:b/>
        </w:rPr>
        <w:t>E. 5.4</w:t>
      </w:r>
    </w:p>
    <w:p>
      <w:r>
        <w:t>L'inscription de l'expulsion dans le SIS est régie par le règlement (UE) n° 2018/1861 du Parlement européen et du Conseil du 28 novembre 2018 (Règlement SIS Frontières).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w:t>
      </w:r>
    </w:p>
    <w:p>
      <w:r>
        <w:rPr>
          <w:b/>
        </w:rPr>
        <w:t>E. 7</w:t>
      </w:r>
    </w:p>
    <w:p>
      <w:r>
        <w:t>Considéré globalement, l'état de frais produit par Me B______, défenseure d'office de A______, satisfait les exigences légales et jurisprudentielles régissant l'assistance judiciaire gratuite en matière pénale.</w:t>
      </w:r>
    </w:p>
    <w:p>
      <w:r>
        <w:t>La rémunération de Me B______ sera partant arrêtée à CHF 908.05 correspondant à 45 minutes d'activité au tarif de CHF 200.-/heure et cinq heures d'activité au tarif de CHF 110.-/heure, plus la majoration forfaitaire de 20% et l'équivalent de la TVA au taux de 8.1% en CHF 68.05. * * * * *</w:t>
      </w:r>
    </w:p>
    <w:p>
      <w:r>
        <w:t>- 19/22 - P/592/2025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