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AARP/9/2024 vom 13. Dezember 2023</w:t>
      </w:r>
    </w:p>
    <w:p>
      <w:r>
        <w:t>GE Cour de justice, 2023-12-13, FR</w:t>
      </w:r>
    </w:p>
    <w:p>
      <w:r>
        <w:rPr>
          <w:b/>
        </w:rPr>
        <w:t xml:space="preserve">Quelle: </w:t>
      </w:r>
      <w:r>
        <w:t>https://mcp.opencaselaw.ch/entscheid/ge_gerichte_AARP_9_2024</w:t>
      </w:r>
    </w:p>
    <w:p>
      <w:r>
        <w:t>FR: GE_GERICHTE AARP/9/2024 du 13 décembre 2023</w:t>
      </w:r>
    </w:p>
    <w:p>
      <w:r>
        <w:t>IT: GE_GERICHTE AARP/9/2024 del 13 dicembre 2023</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CEDH et, sur le plan interne, par les art. 32 al. 1 Cst. et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juge du fait dispose d'un large pouvoir dans l'appréciation des preuves (ATF 120 Ia 31 consid. 4b).</w:t>
      </w:r>
    </w:p>
    <w:p>
      <w:r>
        <w:rPr>
          <w:b/>
        </w:rPr>
        <w:t>E. 2.2</w:t>
      </w:r>
    </w:p>
    <w:p>
      <w:r>
        <w:t>L'art. 6 par. 3 let. d CEDH garantit à tout accusé le droit d'interroger ou de faire interroger les témoins.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Sont considérées comme des déclarations de témoins toutes celles portées à la connaissance du tribunal et utilisées par lui, y compris lorsqu'elles ont été recueillies lors de l'enquête préliminaire. En tant qu'elle concrétise le droit d'être entendu (art. 29 al. 2 Cst.), cette exigence est également garantie par l'art. 32 al. 2 Cst. Ce droit est absolu lorsque la déposition du</w:t>
      </w:r>
    </w:p>
    <w:p>
      <w:r>
        <w:t>- 6/13 - P/417/2022 témoin en cause est d'une importance décisive, notamment lorsqu'il est le seul témoin, ou que sa déposition est une preuve essentielle (ATF 131 I 476 consid. 2.2 ; arrêt du Tribunal fédéral 6B_1310/2016 du 13 décembre 2017 consid. 2.1). Cependant, 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(ATF 131 I 476 consid. 2.2 ; arrêt du Tribunal fédéral 6B_1310/2016 du 13 décembre 2017 consid. 2.1). Des démarches doivent ainsi être entreprises afin de garantir l'équité de la procédure. Sont des éléments susceptibles de rétablir l'équilibre du procès le fait que les juridictions se soient penchées avec prudence sur les déclarations non vérifiées d'un témoin absent, qu'elles aient montré avoir été conscientes de la valeur réduite de ces déclarations, ou qu'elles aient exposé en détail pourquoi elles considéraient que ces déclarations étaient fiables, tout en tenant compte des autres éléments de preuve disponibles. La défense doit se voir offrir la possibilité de donner sa propre version des faits et de mettre en doute la crédibilité du témoin absent en soulignant toute incohérence ; qu'elle connaisse l'identité du témoin constitue un élément supplémentaire susceptible d'améliorer sa situation (arrêt du Tribunal fédéral 6B_947/2015 du 29 juin 2017 consid. 10.2.2.6.4). Le prévenu peut valablement renoncer à son droit à la confrontation, même de manière tacite, pour autant que la renonciation ne contredise pas un intérêt général important, qu'elle soit établie de manière exempte d'équivoque et qu'elle soit entourée d'un minimum de garanties correspondant à sa gravité (ATF 137 IV 33 consid. 9.2 ; arrêt du Tribunal fédéral 6B_1074/2018 du 24 janvier 2019 consid. 1.1). Il incombe néanmoins aux autorités de poursuite pénale de mettre en œuvre une confrontation. Il ne peut ainsi être reproché au prévenu de requérir une telle confrontation au stade de l'appel seulement (arrêt du Tribunal fédéral 6B_956/2016 précité consid. 2.3.2).</w:t>
      </w:r>
    </w:p>
    <w:p>
      <w:r>
        <w:rPr>
          <w:b/>
        </w:rPr>
        <w:t>E. 2.3</w:t>
      </w:r>
    </w:p>
    <w:p>
      <w:r>
        <w:t>Selon l'art. 19 al. 1 let. c LStup, est punissable celui qui, sans droit, aliène ou prescrit des stupéfiants, en procure de toute autre manière à un tiers ou en met dans le commerce.</w:t>
      </w:r>
    </w:p>
    <w:p>
      <w:r>
        <w:rPr>
          <w:b/>
        </w:rPr>
        <w:t>E. 2.4</w:t>
      </w:r>
    </w:p>
    <w:p>
      <w:r>
        <w:t>Il n'y a pas lieu de douter du bien-fondé des déclarations manuscrites signées à la police par C______. Il ne ressort pas du dossier que ces dernières auraient été inventées par la police, comme soutenu par l'appelant. Certes, le procès-verbal manuscrit a visiblement été rédigé par un policier, mais il y figure la signature de C______, dont aucun élément n'amène à douter de l'authenticité. Contrairement à ce qu'argue l'appelant, la photo de la précitée, jointe au dossier, porte bien le même numéro de procédure que le rapport d'arrestation.</w:t>
      </w:r>
    </w:p>
    <w:p>
      <w:r>
        <w:t>- 7/13 - P/417/2022 C______ n'a pas répondu à la convocation du MP, puis n'a pas d'office été convoquée par le TP, étant précisé que l'appelant n'a pas formulé de réquisition de preuve en ce sens en première instance. Il ne peut toutefois pas être retenu qu'il a renoncé à la confrontation, dans la mesure où il a requis l'audition de C______ lors de son annonce d'appel. La culpabilité de l'appelant ne repose toutefois pas sur ces seules déclarations, sur lesquelles celui-ci a d'ailleurs pu prendre position tout au long de la procédure. Les policiers présents le jour des faits ont observé l'appelant en compagnie de C______, leur accolade, puis un échange entre les deux. Les déclarations de C______ sont en outre corroborées par certains éléments au dossier. Notamment, elle a indiqué avoir payé la drogue pour un montant total de CHF 30.-, remis en un billet de CHF 20.- et un de CHF 10.-, ce qui correspond aux coupures retrouvées sur le prévenu lors de sa fouille. L'appelant n'est quant à lui pas crédible quand il explique que C______ lui a remis sept cigarettes le jour des faits alors que les policiers ont indiqué que c'était lui qui avait remis quelque chose à celle-ci. Il se contredit lorsqu'il indique à la police qu'il arrive à C______ de lui remettre des cigarettes lorsqu'ils se croisent, avant d'expliquer en audience de jugement n'avoir vu qu'à deux reprises la précitée. Il a encore indiqué que C______ ne connaissait pas son numéro de téléphone alors que celle-ci l'avait noté sur un papier, remis à la police suite à son arrestation – numéro qu'elle attribuait à la personne à qui elle avait acheté la drogue, de surcroît. C'est donc à juste titre que le premier juge a retenu que le 6 janvier 2022, l'appelant a vendu à C______ une boulette de 0.5 gramme de cocaïne contre la somme de CHF 30.-, et l'a ainsi reconnu coupable d'infraction à l'art. 19 al. 1 let. c LStup. Ce verdict est fondé sur un faisceau d'éléments objectifs concordants, et non seulement sur les déclarations du témoin, comme le soutient à tort la défense. L'appel est rejeté sur ce point.</w:t>
      </w:r>
    </w:p>
    <w:p>
      <w:r>
        <w:rPr>
          <w:b/>
        </w:rPr>
        <w:t>E. 2.5</w:t>
      </w:r>
    </w:p>
    <w:p>
      <w:r>
        <w:t>L'infraction à l'art. 19 al. 1 let. c LStup concernant les faits visés dans l'ordonnance pénale du 16 août 2022 et celle à l'art. 119 al. 1 LEI, non contestées, sont confirmées.</w:t>
      </w:r>
    </w:p>
    <w:p>
      <w:r>
        <w:rPr>
          <w:b/>
        </w:rPr>
        <w:t>E. 3</w:t>
      </w:r>
    </w:p>
    <w:p>
      <w:r>
        <w:t>3.1.1. Les infractions d'aliénation de stupéfiants selon l'art. 19 al. 1 let. c LStup et de non-respect d'une assignation à un lieu de résidence selon l'art. 119 al. 1 LEI sont punies d'une peine privative de liberté de trois ans au plus ou d'une peine pécuniaire.</w:t>
      </w:r>
    </w:p>
    <w:p>
      <w:r>
        <w:t>- 8/13 - P/417/2022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En matière d'infractions fondées sur l'art. 19 LStup, la quantité nette de drogue en cause (1) et le rôle joué par l'auteur (2) sont deux critères importants, mais pas exclusifs, pour déterminer la quotité de la peine ; le critère de la quantité de drogue a d'autant plus de poids que celle-ci est importante et le critère du rôle de l'auteur pèse d'autant plus lourd que plusieurs comportements couverts par l'art. 19 LStup sont réalisés (ATF 121 IV 202 consid. 2d/cc ; arrêt du Tribunal fédéral 6B_843/2014 du 7 avril 2015 consid. 1.1.1). 3.1.3.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t>- 9/13 - P/417/2022</w:t>
      </w:r>
    </w:p>
    <w:p>
      <w:r>
        <w:rPr>
          <w:b/>
        </w:rPr>
        <w:t>E. 3.2</w:t>
      </w:r>
    </w:p>
    <w:p>
      <w:r>
        <w:t>La faute de l'appelant est importante. Il a vendu à trois reprises de la cocaïne, étant précisé que les deux dernières transactions ont eu lieu alors qu'il faisait l'objet d'une procédure pénale, ouverte suite à la première vente, en janvier 2022. Son mobile, soit l'appât du gain facile, était purement égoïste et sa situation personnelle ne justifiait pas son comportement, d'autant moins qu'il a indiqué avoir un travail en Italie. Sa collaboration a été contrastée. S'il a commencé par contester les faits du 28 avril 2022, il les a par la suite admis. Cependant, il a persisté à nier ceux du 6 janvier 2022, en dépit des éléments probants versés au dossier. L'appelant a par ailleurs enfreint les dispositions pénales de la LEI, démontrant un certain mépris pour l'ordre juridique suisse. Il y a concours d'infractions. L'absence d'antécédent est un facteur neutre. Le prononcé d'une peine pécuniaire apparait adéquat pour sanctionner l'appelant, tel que retenu par le premier juge. Les infractions aux art. 19 al. 1 let. c LStup et 119 al. 1 LEI sont toutes deux passibles de la même peine menace. Celles contre la LStup sont subjectivement les plus graves, au vu du bien juridique protégé. La transaction du 28 avril 2022 sera sanctionnée par une peine pécuniaire de 60 jours-amende. Cette peine de base sera augmentée dans une juste proportion de 15 jours-amende (peine hypothétique : 30 jours-amende) pour réprimer la vente du 6 janvier 2022 et de 15 jours-amende supplémentaires (peine hypothétique : 20 jours-amende) pour sanctionner l'infraction à la LEI, ce qui ramène à 90 jours-amende. La peine fixée par le premier juge sera ainsi confirmée. Le montant du jour-amende fixé à CHF 10.-, le prononcé du sursis, ainsi que du délai d'épreuve de trois ans, adéquats, sont acquis à l'appelant.</w:t>
      </w:r>
    </w:p>
    <w:p>
      <w:r>
        <w:rPr>
          <w:b/>
        </w:rPr>
        <w:t>E. 4.1</w:t>
      </w:r>
    </w:p>
    <w:p>
      <w:r>
        <w:t>Vu la confirmation de la culpabilité de l'appelant et ainsi, du lien étroit entre les valeurs et objet séquestrés et l'infraction commise, les mesures de séquestre, confiscation et destruction prononcées par le premier juge seront confirmées (faits du</w:t>
      </w:r>
    </w:p>
    <w:p>
      <w:r>
        <w:rPr>
          <w:b/>
        </w:rPr>
        <w:t>E. 4.2</w:t>
      </w:r>
    </w:p>
    <w:p>
      <w:r>
        <w:t>Le sort de l'argent et du téléphone saisis le 28 avril 2022 ne saurait être rediscuté, comme le demande l'appelant dans son mémoire d'appel motivé, lequel conclut à ce qu'ils lui soient restitués. Ce point n'est pas attaqué, en effet, à teneur de la déclaration d'appel (art. 399 al. 4 let. c CPP).</w:t>
      </w:r>
    </w:p>
    <w:p>
      <w:r>
        <w:t>- 10/13 - P/417/2022 5. Vu l'issue de l'appel, les conclusions de l'appelant en indemnisation de ses frais de défense seront rejetées (art. 429 al. 1 let. a CPP a contrario).</w:t>
      </w:r>
    </w:p>
    <w:p>
      <w:r>
        <w:rPr>
          <w:b/>
        </w:rPr>
        <w:t>E. 6</w:t>
      </w:r>
    </w:p>
    <w:p>
      <w:r>
        <w:t>L'appelant, qui succombe, supportera les frais de la procédure envers l'État, y compris un émolument d'arrêt de CHF 1'500.- (art. 428 al. 1 CPP). De même, la répartition des frais de première instance ne sera pas revue (art. 428 al. 3 a contrario CPP). * * * * *</w:t>
      </w:r>
    </w:p>
    <w:p>
      <w:r>
        <w:t>- 11/13 - P/417/2022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