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AARP/9/2014 vom 8. Januar 2014</w:t>
      </w:r>
    </w:p>
    <w:p>
      <w:r>
        <w:t>GE Cour de justice, 2014-01-08, FR</w:t>
      </w:r>
    </w:p>
    <w:p>
      <w:r>
        <w:rPr>
          <w:b/>
        </w:rPr>
        <w:t xml:space="preserve">Quelle: </w:t>
      </w:r>
      <w:r>
        <w:t>https://mcp.opencaselaw.ch/entscheid/ge_gerichte_AARP_9_2014</w:t>
      </w:r>
    </w:p>
    <w:p>
      <w:r>
        <w:t>FR: GE_GERICHTE AARP/9/2014 du 8 janvier 2014</w:t>
      </w:r>
    </w:p>
    <w:p>
      <w:r>
        <w:t>IT: GE_GERICHTE AARP/9/2014 del 8 gennaio 2014</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l'annonce d'appel du 19 novembre 2013 valant en l'espèce déclaration d'appel, puisqu'elle permet de comprendre que X______, plaidant en personne, conteste la quotité de la peine (art. 399 al. 4 let. b CPP) et sollicite sa réduction.</w:t>
      </w:r>
    </w:p>
    <w:p>
      <w:r>
        <w:rPr>
          <w:b/>
        </w:rPr>
        <w:t>E. 1.2</w:t>
      </w:r>
    </w:p>
    <w:p>
      <w:r>
        <w:t>La Chambre limite son examen aux violations décrites dans l'acte d'appel (art. 404 al. 1 CPP), sauf en cas de décisions illégales ou inéquitables (art. 404 al. 2 CPP). Il n'y a ainsi pas lieu de revenir sur le verdict de culpabilité, qui n'est pas contesté et qui, au demeurant, est conforme aux éléments du dossier.</w:t>
      </w:r>
    </w:p>
    <w:p>
      <w:r>
        <w:t>- 4/7 - P/15601/2013</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2.2.1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le fait que les dispositions pénales applicables prévoient, de manière abstraite, des peines d'un même genre ne suffit pas (ATF 138 IV 120 consid. 5.2 p. 122 ss). 2.2.2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Le séjour illégal au sens de l’art. 115 al. 1 let. b LEtr est un délit de durée. L’infraction peut être à nouveau commise si, après avoir été jugé pour de tels faits, le condamné poursuit ou renouvelle son séjour illégal en Suisse. Est passible d'une amende sur la base de l'art. 19a ch. 1 LStup celui qui, sans droit, aura consommé intentionnellement des stupéfiants ou celui qui aura commis une infraction à l'art. 19 LStup pour assurer sa propre consommation.</w:t>
      </w:r>
    </w:p>
    <w:p>
      <w:r>
        <w:rPr>
          <w:b/>
        </w:rPr>
        <w:t>E. 2.3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2.4.1 En l'espèce, le premier juge a relevé qu'il n'existait aucune circonstance atténuante et que la faute du prévenu n'était pas légère au vu des circonstances du cas particulier,</w:t>
      </w:r>
    </w:p>
    <w:p>
      <w:r>
        <w:t>- 5/7 - P/15601/2013 notamment de la longueur du séjour illégal et du fait que les nouvelles infractions commises faisaient suite à quatre condamnations précédemment rendues à son encontre pour des faits identiques. L'intéressé démontrait ainsi avoir été jusqu'alors parfaitement imperméable à l'effet dissuasif des précédentes peines et avait agi par mépris pour les lois en vigueur, justifiant le prononcé d'une peine privative de liberté de 4 mois, qui ne pouvait être assortie d'un sursis, compte tenu notamment de ses antécédents, spécifiques. 2.4.2 Cette motivation n'est pour l'essentiel pas critiquable notamment en tant qu'il en ressort que le risque de commission de nouvelles infractions est important, rendant ainsi le pronostic d’avenir concrètement défavorable et excluant de ce fait l’octroi du sursis (art. 42 CP). Par ailleurs, le prononcé d’une peine pécuniaire ou d’un travail d’intérêt général n’était pas envisageable, ces sanctions n’étant pas dissuasives et ne pouvant en tout état de cause pas être exécutées, dès lors que le prévenu se dit palestinien, est dépourvu de tout document d'identité et sans domicile connu. En revanche, elle ne permet pas de savoir si le Tribunal a considéré qu'il convenait de faire application de l'art. 49 al. 1 CP en l'occurrence et donc d'augmenter dans une juste proportion la peine de l'infraction la plus grave, soit celle liée au séjour illégal, en y intégrant la contravention à la LStup, puisqu'il n'y a aucune allusion à une amende, ni, le cas échéant, à la volonté du premier juge de renoncer au prononcé d'une telle sanction que ce soit en application de l'art. 19a ch. 2 LStup ou de l'art. 52 CP applicable aux contraventions en vertu de l'art. 104 CP. Il subsiste ainsi un doute sur la prise en considération du concours d'infractions au sens de l'art. 49 al. 1 CP dans le cas d'espèce, alors que cette disposition n'entrait pas en ligne de compte dès lors que la violation de l'art. 115 al. 1 let. b LEtr et de l'art. 19a ch. 1 LStup n'est pas passible du même genre de peine, doute qui doit profiter à l'accusé. 2.4.3 Il se justifie en conséquence de réduire la quotité de la peine privative de liberté infligée à l'appelant du chef de séjour illégal et de prononcer cumulativement une amende pour sanctionner la contravention à la LStup, tout en l'assortissant d'une peine privative de liberté de substitution au cas où il ne s'en acquitterait pas de manière fautive (art. 106 al. 2 CP). Le jugement entrepris sera réformé sur ce point.</w:t>
      </w:r>
    </w:p>
    <w:p>
      <w:r>
        <w:rPr>
          <w:b/>
        </w:rPr>
        <w:t>E. 3</w:t>
      </w:r>
    </w:p>
    <w:p>
      <w:r>
        <w:t>L’appel étant admis partiellement, il ne sera pas perçu de frais (art. 428 CPP a contrario). * * * * *</w:t>
      </w:r>
    </w:p>
    <w:p>
      <w:r>
        <w:t>- 6/7 - P/15601/2013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