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AARP/99/2014 vom 13. Februar 2014</w:t>
      </w:r>
    </w:p>
    <w:p>
      <w:r>
        <w:t>GE Cour de justice, 2014-02-13, FR</w:t>
      </w:r>
    </w:p>
    <w:p>
      <w:r>
        <w:rPr>
          <w:b/>
        </w:rPr>
        <w:t xml:space="preserve">Quelle: </w:t>
      </w:r>
      <w:r>
        <w:t>https://mcp.opencaselaw.ch/entscheid/ge_gerichte_AARP_99_2014</w:t>
      </w:r>
    </w:p>
    <w:p>
      <w:r>
        <w:t>FR: GE_GERICHTE AARP/99/2014 du 13 février 2014</w:t>
      </w:r>
    </w:p>
    <w:p>
      <w:r>
        <w:t>IT: GE_GERICHTE AARP/99/2014 del 13 febbraio 2014</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- 10/22 - P/970/2013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t>- 11/22 - P/970/2013</w:t>
      </w:r>
    </w:p>
    <w:p>
      <w:r>
        <w:rPr>
          <w:b/>
        </w:rPr>
        <w:t>E. 3</w:t>
      </w:r>
    </w:p>
    <w:p>
      <w:r>
        <w:t>3.1.1 En vertu de l'art. 122 CP,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celui qui, intentionnellement, aura fait subir à une personne toute autre atteinte grave à l'intégrité corporelle ou à la santé physique ou mentale, sera puni d'une peine privative de liberté de dix ans au plus ou d'une peine pécuniaire de 180 jours- amende au moins.</w:t>
      </w:r>
    </w:p>
    <w:p>
      <w:r>
        <w:t>L’art. 122 CP comporte une liste non exhaustive des cas où les lésions corporelles sont graves. Il y a notamment lésions corporelles graves en cas de défiguration, soit un préjudice esthétique important et durable (cf. ATF 115 IV 17 consid. 2a p. 19 ; arrêt du Tribunal fédéral 6B_115/2009 du 13 août 2009 consid. 4.1). Le Tribunal fédéral a ainsi considéré qu'une lésion au visage, importante mais non permanente, ne suffisait pas à constituer une lésion corporelle grave au sens de l'art. 122 ch. 1 al. 2 CP. Ainsi, le fait que la blessure puisse être qualifiée de grave lors des faits n'est pas suffisant pour la qualifier de lésion corporelle grave. En revanche, une coupure partant de la commissure de la bouche jusqu'à l'oreille, complètement guérie, mais dont la cicatrice subsistera à l'avenir et qui gênera durablement le lésé dans l'expression de son visage, doit être considérée comme une lésion corporelle grave. Ont également été assimilées à une défiguration au sens de l'art. 122 al. 2 CP des lésions manifestes de la peau du visage et du cou qui subsistent plus de six ans après l'échec d'une opération de chirurgie esthétique (arrêt du Tribunal fédéral 6B_115/2009 du 13 août 2009 consid. 5). L’infraction à l’art. 122 CP est intentionnelle, le dol éventuel étant toutefois suffisant. Ainsi, l’auteur doit avoir voulu causer des lésions corporelles graves ou, à tout le moins, avoir accepté cette éventualité (ATF 135 IV 152 consid. 2.3.2 p. 156). 3.1.2 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al. 2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t>- 12/22 - P/970/2013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C'est ainsi qu'un porte- 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cités par l’arrêt du Tribunal fédéral 6S.65/2002 du 26 avril 2002 consid. 3.2). La notion d'objet dangereux est vague, de sorte que le juge dispose d'un certain pouvoir d'appréciation. A titre d'exemple, le Tribunal fédéral a retenu la qualification d'objet dangereux notamment pour une chope de bière lancée à la tête d'autrui à une distance de quatre mètres (ATF 101 IV 285 p. 287) et pour un patin à glace lorsque l'auteur s'en sert pour frapper avec force la jambe d'une personne (ATF 111 IV 123 consid. 4 p. 123). Pour sa part, la jurisprudence cantonale a admis le caractère dangereux pour un verre à vin, préalablement cassé par l'auteur (AARP/470/2012 du 21 décembre 2012 consid. 3.3),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se résultat pour le cas où il se produirait, même s'il ne le souhaite pas (ATF 131 IV 1 consid. 2.2 p. 4; ATF 105 IV 172 consid. 4b p. 177).</w:t>
      </w:r>
    </w:p>
    <w:p>
      <w:r>
        <w:rPr>
          <w:b/>
        </w:rPr>
        <w:t>E. 3.2</w:t>
      </w:r>
    </w:p>
    <w:p>
      <w:r>
        <w:t>Quiconque, de manière contraire au droit, est attaqué ou menacé d’une attaque imminente a le droit de repousser l’attaque par des moyens proportionnés aux circonstances ; le même droit appartient aux tiers (art. 15 CP).</w:t>
      </w:r>
    </w:p>
    <w:p>
      <w:r>
        <w:t>- 13/22 - P/970/2013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L’art. 15 CP ne peut être invoqué par le provocateur qui fait en sorte d’être attaqué pour pouvoir porter atteinte aux biens juridiques de tiers sous le couvert de la légitime défense (ATF 104 IV 53 consid. 2b p. 57).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 3.3.1 En l'espèce, l'appelant principal (ci-après: l'appelant) conteste avoir blessé la partie plaignante et soutient que, dans un contexte de bagarre impliquant plusieurs personnes, dont A______, ce dernier se serait blessé tout seul, en tombant sur des débris de bouteille jonchant le sol. Ces déclarations ne sont cependant pas crédibles. Tout d'abord, il n'est pas vraisemblable que l'appelant ait été impliqué dans une bagarre l'opposant à A______ et à d'autres personnes. En effet, lors de la première audience devant le Ministère public, l'appelant a fait état d'une altercation l'opposant exclusivement à A______, sans mentionner la présence d'autres personnes. Confronté à la partie plaignante, il a admis que le groupe d'amis de A______ avait reculé et ne s'était rapproché que lorsque la partie plaignante s'était</w:t>
      </w:r>
    </w:p>
    <w:p>
      <w:r>
        <w:t>- 14/22 - P/970/2013 relevée, toute seule, et que lui-même s'était enfui avec D______. A cela s'ajoute le fait que si l'appelant avait été malmené par plusieurs personnes, qui plus est munies de tessons de bouteilles, comme D______ et lui-même l'allèguent, il aurait à l'évidence présenté des blessures plus importantes que quelques contusions. Ensuite, le récit de l'appelant a varié tout au long de la procédure. Dans un premier temps, il a expliqué que A______, qui tenait une bouteille cassée, l'avait fait tomber. En se relevant, il avait ramassé une bouteille, qu'il avait cassée mais il ne l'avait pas utilisée pour frapper la partie plaignante. Un mois après les faits, l'appelant a modifié ses déclarations. Il avait été bousculé et frappé par des membres des groupes accompagnant A______. Glissant sur la neige, il était tombé au sol et avait alors lâché la bouteille de bière qu'il avait dans la main. En se relevant, il s'était cramponné à la veste de la partie plaignante et avait agrippé sa main, dans laquelle se trouvait une bouteille cassée, afin d'éviter d'être frappé. Ils étaient ensuite tombés, l'appelant sur A______, et le visage de celui-ci avait été touché par la bouteille. Lors de l'audience de première instance, l'appelant a encore modifié ses déclarations. Il avait été poussé par l'une des personnes accompagnant A______ et était tombé. Quant à A______, il était tombé sur sa bouteille et s'était blessé tout seul. En audience d'appel, il a complété ses explications, déclarant que A______ et lui-même étaient tombés et que la partie plaignante s'était blessée à la tête dans ces circonstances, sans qu'il n'ait vu comment c'était arrivé. Dans tous les cas, A______ ne s'était pas blessé avec les débris de sa bouteille, dans la mesure où d'autres tessons jonchaient le sol. A cela s'ajoute le fait que les blessures, dont a été victime la partie plaignante, notamment la plaie frontale gauche en forme de "Z", de 12 cm de long, constituent, au vu de leur forme notamment, à l'évidence des marques caractéristiques d'un coup de tesson de bouteille et non d'une blessure causée suite à une chute sur des débris de bouteille. Par ailleurs, aucune petite plaie qui aurait pu être causée par des débris de verre n'a été constatée sur la personne de A______. Tous ces éléments constituent des indices convergents permettant de retenir que les blessures de la partie plaignante n'ont pas été causées accidentellement, lors d'une chute, mais bien intentionnellement par l'appelant, comme A______ l'a indiqué. Certes, les déclarations de ce dernier comportent des invraisemblances, comme la poursuite sur 150 mètres que X______ semble incapable de réaliser ou le fait de tourner autour du véhicule stationné dans la rue, sans qu'elles nuisent à la crédibilité de son récit pour ce qui est des coups portés au visage. Les indices convergents précités permettent de pallier ces incohérences et d'aboutir à une reconnaissance de culpabilité. 3.3.2 S'agissant de la qualification des blessures, il est constant que A______ a été victime de trois plaies au visage, qualifiées de profondes dans l'avis de sortie du 22</w:t>
      </w:r>
    </w:p>
    <w:p>
      <w:r>
        <w:t>- 15/22 - P/970/2013 janvier 2013. Le dossier soumis à la Cour de céans ne contient cependant aucun avis médical circonstancié, selon lequel ces cicatrices revêtiraient un caractère disgracieux et permanent. Si lesdites cicatrices pouvaient à l'évidence être qualifiées de disgracieuses lors de l'audience de confrontation du 16 avril 2013, selon les photographies prises par le Ministère public, il n'est pas établi que tel aurait encore été le cas lors de l'audience du Tribunal correctionnel le 21 août 2013. Comme A______ ne s'est pas présenté aux débats, l'apparence de ses cicatrices, près de huit mois après les faits, n'a pas pu être déterminée. En outre, aucun certificat médical actualisé n'a été versé à la procédure. Ainsi, dans ces circonstances, il existe un doute irréductible sur le fait que la partie plaignante ait subi un préjudice esthétique important et durable de sorte que l'appelant doit être acquitté du chef d'accusation de lésions corporelles graves, au sens de l'art. 122 CP, en application du principe in dubio pro reo. 3.3.3 En revanche, dans la mesure où les blessures ont été infligées avec un tesson de bouteille, utilisé comme un couteau ou un autre objet tranchant, l'aggravante de l'usage d'un objet dangereux est réalisée. Par conséquent, l'appelant sera reconnu coupable de lésions corporelles simples aggravées au sens de l'art. 123 ch. 2 CP, à tout le moins par dol éventuel. 3.3.4 Enfin, on ne saurait retenir la légitime défense dans la mesure où l'appelant a toujours minimisé son implication, alléguant que la partie plaignante se serait blessée toute seule. Dans ces circonstances, il apparaît donc que ce fait justificatif a été uniquement invoqué pour les besoins de la cause, de sorte qu'il n'y a pas lieu d'en tenir compte. A cela s'ajoute le fait que l'appelant est de nature violente, comme il l'a notamment démontré lors de son identification au poste de police, et qu'il est dès lors vraisemblable que si, comme il le prétend, la partie plaignante lui a vendu une boulette de mauvaise qualité, l'appelant ait décidé d'en découdre pour obtenir le remboursement des CHF 50.- versés. Il a d'ailleurs lui-même admis qu'il a, à plusieurs reprises, insisté dans ce sens auprès de la partie plaignante.</w:t>
      </w:r>
    </w:p>
    <w:p>
      <w:r>
        <w:rPr>
          <w:b/>
        </w:rPr>
        <w:t>E. 3.4</w:t>
      </w:r>
    </w:p>
    <w:p>
      <w:r>
        <w:t>Dès lors que l'appelant est en tout état reconnu coupable de lésions corporelles simples aggravées, il n'y a pas lieu d'entrer en matière sur la question de la possibilité de modifier les conclusions entre la déclaration d'appel et les débats, question qui peut rester ouverte.</w:t>
      </w:r>
    </w:p>
    <w:p>
      <w:r>
        <w:rPr>
          <w:b/>
        </w:rPr>
        <w:t>E. 4</w:t>
      </w:r>
    </w:p>
    <w:p>
      <w:r>
        <w:t>et les références citées). En ce qui concerne la consommation de stupéfiants, la jurisprudence a précisé qu'une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6B_13/2009 du 9 février 2009 consid. 3.1 et 6B_418/2009 du 21 octobre 2009 consid. 1.2.2).</w:t>
      </w:r>
    </w:p>
    <w:p>
      <w:r>
        <w:rPr>
          <w:b/>
        </w:rPr>
        <w:t>E. 4.2</w:t>
      </w:r>
    </w:p>
    <w:p>
      <w:r>
        <w:t>En l'espèce, les déclarations de l'appelant relatives à la consommation d'alcool (15 bières, dont au moins 12 de 33 cl) et de stupéfiants (une ligne de cocaïne et 10 comprimés de Rivotril), intervenues un mois après les faits, sont peu crédibles. En effet, selon le rapport d'arrestation du 20 janvier 2013, le test de l'éthylomètre pratiqué a mis en évidence un taux d'alcoolémie de 0.66 o/oo, ce qui n'est pas compatible avec le nombre de bières prétendument consommées par l'appelant. Cela étant, le comportement de l'appelant durant et après les faits - celui-ci ayant fui et s'étant volontairement blessé au poste de police pour tenter d'en tirer profit par la suite et accuser les gendarmes – démontre que la consommation hypothétique d'alcool et de stupéfiants n'a, en rien, influencé sa capacité à apprécier l'illicéité de son comportement. Par ailleurs, ni le Ministère public, ni les premiers juges n'ont estimé que la consommation d'alcool et/ou de stupéfiants de l'appelant constituait une raison sérieuse de douter de sa responsabilité pénale et n'ont en conséquence ordonné aucune expertise sur ce point (art. 20 CP). L'appelant n'a pas davantage requis cette mesure d'instruction. Force est ainsi de considérer que la consommation hypothétique d'alcool, de cocaïne et de Rivotril alléguée par l'appelant n'a pas induit une altération de ses facultés intellectuelle et volitive qui soit propre à susciter des doutes quant à son entière responsabilité au moment d'agir. Le jugement de première instance doit donc être confirmé sur ce point.</w:t>
      </w:r>
    </w:p>
    <w:p>
      <w:r>
        <w:t>- 17/22 - P/970/2013</w:t>
      </w:r>
    </w:p>
    <w:p>
      <w:r>
        <w:rPr>
          <w:b/>
        </w:rPr>
        <w:t>E. 5</w:t>
      </w:r>
    </w:p>
    <w:p>
      <w:r>
        <w:t>5.1.1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5.1.2 L'infraction de lésions corporelles simples aggravées est passible d'une peine privative de liberté de trois ans au plus ou d'une peine pécuniaire. Quant au séjour illégal, il est puni d'une peine privative de liberté d'un an au plus ou d'une peine pécuniaire.</w:t>
      </w:r>
    </w:p>
    <w:p>
      <w:r>
        <w:rPr>
          <w:b/>
        </w:rPr>
        <w:t>E. 5.2</w:t>
      </w:r>
    </w:p>
    <w:p>
      <w:r>
        <w:t>En l'espèce, la faute de l'appelant est lourde. Agissant pour un motif futile et égoïste, vraisemblablement en raison d'une boulette de cocaïne de mauvaise qualité lui ayant été vendue par la partie plaignante, il n’a pas hésité à lui asséner deux coups de tessons de bouteille au visage, ce qui a entraîné trois blessures. En outre, bien qu'ayant été arrêté et condamné à plusieurs reprises pour séjour illégal, l'appelant s'obstine à demeurer en Suisse et à y commettre des infractions. La collaboration de l'appelant à l'enquête a été mauvaise. En effet, devant la police, il a refusé de répondre aux questions et s'est tapé la tête contre les murs de la cellule, à trois reprises, pour pouvoir accuser les gendarmes de violences. Puis, devant le Ministère public et l'autorité de première instance, il a varié dans ses déclarations et rejeté la responsabilité sur la partie plaignante, se positionnant en</w:t>
      </w:r>
    </w:p>
    <w:p>
      <w:r>
        <w:t>- 18/22 - P/970/2013 victime. Il n'a manifesté aucun regret pour son geste et aucune prise de conscience par rapport à la gravité de ses agissements. Il n'y a en outre pas lieu de prendre en considération une responsabilité pénale restreinte, celle-ci n'ayant pas été rendue vraisemblable. Enfin, ses antécédents judiciaires sont mauvais. Il a notamment déjà été condamné à plusieurs reprises pour des actes de violence et de séjour illégal en Suisse, ce qui ne l'a pas dissuadé de récidiver. Au vu des éléments précités, c'est à juste titre que l'appelant a été condamné à une peine ferme, l'octroi du sursis n'ayant au demeurant pas été plaidé par l'appelant. Cependant, il se justifie de réduire la peine privative de liberté de 24 mois, infligée par le Tribunal correctionnel, dès lors que l'appelant a été acquitté du chef d'accusation de lésions corporelles graves. Ainsi, une peine privative de liberté de 18 mois sera-t-elle prononcée. Dans cette mesure, l'appel joint du Ministère public sera rejeté.</w:t>
      </w:r>
    </w:p>
    <w:p>
      <w:r>
        <w:rPr>
          <w:b/>
        </w:rPr>
        <w:t>E. 6.1</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w:t>
      </w:r>
    </w:p>
    <w:p>
      <w:r>
        <w:t>- 19/22 - P/970/2013 Elle constitue donc une circonstance nouvelle, appelant un réexamen du pronostic au stade de la décision d'ordonner ou non l'exécution de l'autre peine (arrêts du Tribunal fédéral 6B_458/2011 du 13 décembre 2011 consid. 4.1 et 6B_855/2010 du</w:t>
      </w:r>
    </w:p>
    <w:p>
      <w:r>
        <w:rPr>
          <w:b/>
        </w:rPr>
        <w:t>E. 6.2</w:t>
      </w:r>
    </w:p>
    <w:p>
      <w:r>
        <w:t>En l'espèce, l'appelant a récidivé alors qu'il savait que la commission d'infractions de même nature l'exposait à la révocation du sursis octroyé. Les précédentes sanctions n'ont nullement atteint le but d’avertissement souhaité. Sa situation administrative en Suisse l'empêche de travailler légalement et sa dépendance, même s'il est abstinent en milieu carcéral, représentent un risque accru d'adopter un comportement illicite. La récidive spéciale et l'absence d'une prise de conscience aboutie fondent par conséquent un pronostic défavorable, sans qu'on puisse penser que la nouvelle peine aurait un effet dissuasif suffisant. Par ailleurs, ce pronostic clairement défavorable ne donne pas droit à l'application de la "clause de la seconde chance" introduite par le nouveau Code pénal. La révocation du sursis prononcé le 29 avril 2010 sera donc confirmée.</w:t>
      </w:r>
    </w:p>
    <w:p>
      <w:r>
        <w:rPr>
          <w:b/>
        </w:rPr>
        <w:t>E. 7</w:t>
      </w:r>
    </w:p>
    <w:p>
      <w:r>
        <w:t>Les motifs ayant conduit les premiers juges à prononcer, par ordonnance séparée du 21 août 2013, le maintien de l'appelant en détention pour des motifs de sûreté sont toujours d'actualité, ce que celui-ci n'a du reste pas contesté, de sorte que ces mesures sont reconduites par la confirmation du jugement entrepris (ATF 139 IV 277 consid. 2.1-2.3).</w:t>
      </w:r>
    </w:p>
    <w:p>
      <w:r>
        <w:rPr>
          <w:b/>
        </w:rPr>
        <w:t>E. 8</w:t>
      </w:r>
    </w:p>
    <w:p>
      <w:r>
        <w:t>Vu l’issue de la procédure, les prétentions en indemnisation formulées par l'appelant seront rejetées.</w:t>
      </w:r>
    </w:p>
    <w:p>
      <w:r>
        <w:rPr>
          <w:b/>
        </w:rPr>
        <w:t>E. 9</w:t>
      </w:r>
    </w:p>
    <w:p>
      <w:r>
        <w:t>L’appelant, qui succombe partiellement, supportera les deux tiers des frais de la procédure d'appel, comprenant dans leur totalité un émolument de CHF 3'000.-, le solde étant laissé à la charge de l’État (art. 428 CPP et art. 14 al. 1 let. e du règlement fixant le tarif des frais en matière pénale ; E 4 10.03). * * * * *</w:t>
      </w:r>
    </w:p>
    <w:p>
      <w:r>
        <w:t>- 20/22 - P/970/2013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