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AARP/98/2025 vom 26. Februar 2025</w:t>
      </w:r>
    </w:p>
    <w:p>
      <w:r>
        <w:t>GE Cour de justice, 2025-02-26, FR</w:t>
      </w:r>
    </w:p>
    <w:p>
      <w:r>
        <w:rPr>
          <w:b/>
        </w:rPr>
        <w:t xml:space="preserve">Quelle: </w:t>
      </w:r>
      <w:r>
        <w:t>https://mcp.opencaselaw.ch/entscheid/ge_gerichte_AARP_98_2025</w:t>
      </w:r>
    </w:p>
    <w:p>
      <w:r>
        <w:t>FR: GE_GERICHTE AARP/98/2025 du 26 février 2025</w:t>
      </w:r>
    </w:p>
    <w:p>
      <w:r>
        <w:t>IT: GE_GERICHTE AARP/98/2025 del 26 febbraio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(art. 391 al. 1 CPP).</w:t>
      </w:r>
    </w:p>
    <w:p>
      <w:r>
        <w:t>- 5/13 - P/5684/2023</w:t>
      </w:r>
    </w:p>
    <w:p>
      <w:r>
        <w:rPr>
          <w:b/>
        </w:rPr>
        <w:t>E. 2</w:t>
      </w:r>
    </w:p>
    <w:p>
      <w:r>
        <w:t>2.1.1. Aux termes de l'art. 83 al. 1 CPP, l'autorité pénale qui a rendu un prononcé dont le dispositif est peu clair, contradictoire ou incomplet ou qui est en contradiction avec l'exposé des motifs, l'explique ou le rectifie à la demande d'une partie ou d'office. 2.1.2. L'explication et la rectification au sens de cette disposition ne visent pas le réexamen matériel d'un jugement mais sa clarification, respectivement la correction d'erreurs manifestes. Tel est le cas lorsqu'il ressort indubitablement de la lecture du texte de la décision que ce que le tribunal voulait prononcer ou ordonner ne correspond pas avec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l'art. 83 CPP (ATF 142 IV 281 consid. 1.3 ; arrêt du Tribunal fédéral 6B_794/2021 du 21 mars 2022 consid. 2.1). S'agissant d'une inadvertance manifeste, qui ne relève en rien de l'interprétation, rien n'empêche l'autorité de recours, qui constate une telle inadvertance, de procéder elle- même à une rectification d'office (arrêt du Tribunal fédéral 6B_155/2019 du 29 mars 2019 consid. 1.3 ; cf. Y. JEANNERET / A. KUHN / C. PERRIER DEPEURSINGE (éds), Commentaire romand : Code de procédure pénale suisse, 2ème éd., Bâle 2019, n. 6 ad art. 83 CPP). La possibilité d'expliquer ou de rectifier des prononcés, accordée aux autorités pénales par l'art. 83 CPP, vise d'ailleurs à remédier à des carences de manière simple, sans passer par une procédure de recours (arrêt du Tribunal fédéral 6B_155/2019 précité consid. 1.3 ; cf. Message du 21 décembre 2005 relatif à l'unification du droit de la procédure pénale, FF 2006 1135 ad art. 81). De ce point de vue, un renvoi de la cause à l'autorité précédente afin que celle-ci puisse rectifier une simple erreur de plume serait contraire au but de la disposition (arrêts du Tribunal fédéral 6B_794/2021 du 21 mars 2022 consid. 2.3 ; 6B_155/2019 précité consid. 1.3).</w:t>
      </w:r>
    </w:p>
    <w:p>
      <w:r>
        <w:rPr>
          <w:b/>
        </w:rPr>
        <w:t>E. 2.2</w:t>
      </w:r>
    </w:p>
    <w:p>
      <w:r>
        <w:t>En l'espèce, le dispositif du jugement querellé est clairement en contradiction avec l'exposé des motifs du considérant 3.3, la peine pécuniaire qui y est motivée ne correspondant pas à la peine privative de liberté qui a été prononcée dans le dispositif du 24 mai 2024. Conformément aux explications du TP, le dispositif rendu oralement le 24 mai 2024 a été motivé brièvement lors de sa notification en audience, ce qui est confirmé par l'appelant qui explique s'être rendu compte de la contradiction à réception du jugement motivé par écrit uniquement. Dans ces circonstances, il y a lieu de retenir que la peine retenue dans le dispositif correspond bien à la volonté du Tribunal, et que les motifs contenus dans le jugement motivé à ce sujet relèvent d'une manifeste inadvertance. L'appel portant précisément sur la question de la peine et la CPAR disposant d'un plein pouvoir de cognition en fait et en droit (art. 398 al. 2 CPP), il n'y a pas lieu d'annuler le jugement entrepris pour ce motif, ni de renvoyer la cause au premier juge pour nouvelle motivation.</w:t>
      </w:r>
    </w:p>
    <w:p>
      <w:r>
        <w:t>- 6/13 - P/5684/2023</w:t>
      </w:r>
    </w:p>
    <w:p>
      <w:r>
        <w:rPr>
          <w:b/>
        </w:rPr>
        <w:t>E. 3</w:t>
      </w:r>
    </w:p>
    <w:p>
      <w:r>
        <w:t>3.1.1. L'infraction à l'art. 119 al. 1 LEI est sanctionnée d'une peine privative de liberté de trois ans au plus ou d'une peine pécuniaire et celle à l'art. 115 al. 1 let. b LEI l'est d'une peine privative de liberté d'un an au plus ou d'une peine pécuniaire.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3.1.3. L'art. 41 al. 1 CP autorise le juge à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Petit commentaire du Code pénal, 2ème ed., 2017, n. 3 ad art. 41). 3.1.4. La Directive sur le retour, intégrée au droit suisse par arrêté fédéral du 18 juin 2010 et la jurisprudence de la Cour de justice de l'Union européenne y relative, reprise par le Tribunal fédéral, posent le principe de la priorité des mesures de refoulement sur le prononcé d'une peine privative de liberté du ressortissant d'un pays tiers qui est en séjour illégal (ATF 147 IV 232 consid. 1.2 ; 143 IV 249 consid. 1.5 et 1.9 ; arrêts du Tribunal fédéral 6B_275/2022 du 2 septembre 2022 consid. 1.1.2 ; 1B_211/2023 du 11 mai 2023). Un tel genre de peine ne peut entrer en ligne de compte que lorsque toutes les mesures raisonnables pour l'exécution de la décision de retour ont été entreprises (ATF 147 IV 232 consid. 1.2 ; 143 IV 249 consid. 1.9), respectivement si</w:t>
      </w:r>
    </w:p>
    <w:p>
      <w:r>
        <w:t>- 7/13 - P/5684/2023 ce retour a échoué en raison du comportement de l'intéressé (arrêt du Tribunal fédéral 6B_1398/2020 du 10 mars 2021 consid. 1.6). La Directive sur le retour n'est toutefois pas applicable aux ressortissants des pays tiers qui ont commis, outre le séjour irrégulier, un ou plusieurs autres délits (art. 2 al. 2 let. b de la Directive sur le retour) en dehors du droit pénal sur les étrangers (ATF 143 IV 264 consid. 2.4-2.6) pour autant toutefois que, pris individuellement, ces délits justifient une peine privative de liberté (ATF 150 IV 329 consid. 1.2.3 et 1.6.5). La Directive sur le retour ne s'applique pas non plus au ressortissant de pays tiers qui, en sus du séjour irrégulier, a commis une violation d'une interdiction de périmètre (art. 119 al. 1 LEI) lorsque cette interdiction a été prononcée en raison du comportement de l'intéressé troublant ou menaçant la sécurité et l'ordre publics (art. 74 al. 1 let. a LEI ; notamment dans le cas de trafic illégal de stupéfiants) mais reste applicable lorsque la mesure a été prononcée uniquement en lien avec la mise en œuvre du renvoi (art. 74 al. 1 let. b et c LEI) (ATF 143 IV 264 consid. 2.6.2). 3.1.4. Selon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L'art. 49 al. 2 CP dispose quant à lui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ainsi fixer une peine complémentaire (Zusatzstrafe) à la peine de base (Grundstrafe) en tenant compte du principe de l'aggravation découlant de l'art. 49 al. 1 CP (ATF 145 IV 1 consid. 1.3).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consid. 6.1.2 ; arrêt du Tribunal fédéral 6B_623/2016 du 25 avril 2017 consid. 1.1 et 1.4). Bien que le deuxième tribunal doive fixer la peine globale,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 ; J. FRANCEY, Le concours rétrospectif (art. 49 al. 2 CP), in LawInside, 31 août 2016, http://www.lawinside.ch/304/ [31.01.17]).</w:t>
      </w:r>
    </w:p>
    <w:p>
      <w:r>
        <w:t>- 8/13 - P/5684/2023 Si la peine de base contient l'infraction la plus grave, il faut alors l'augmenter au regard des faits nouveaux. Pour obtenir la peine complémentaire, le juge doit ainsi déduire la peine de base de la peine globale. Si au contraire les faits nouveaux contiennent l'infraction la plus grave, il faut l'augmenter dans une juste mesure en fonction de la peine de base. La réduction de la peine de base, intervenue suite au principe d'aggravation, doit être soustraite de la peine des faits nouveaux pour donner la peine complémentaire. Si finalement, la peine du premier jugement et la peine des faits nouveaux constituent des peines d'ensemble parce qu'elles ont déjà été augmentées en vertu du principe d'aggravation, le juge peut en tenir compte modérément dans la fixation de la peine complémentaire (ATF 142 IV 265 consid. 2.4.4 = JdT 2017 IV 129 ; AARP/467/2016 du 18 novembre 2016 consid. 3.3.2 ; J. FRANCEY, op cit). 3.1.2. L'art. 115 al. 1 let. b LEI consacre un délit continu.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 ne bis in idem (ATF 145 IV 449 consid. 1.1 ; 135 IV 6 consid. 3.2).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145 IV 449 consid. 1.1 ; 135 IV 6 consid. 4.2 ; arrêt du Tribunal fédéral 6B_95/2023 du 12 juillet 2023 consid. 1.1). 3.2.1. En l'espèce, les faits reprochés à l'appelant sont d'une certaine gravité, à tout le moins au vu de leur répétition nonobstant ses interpellations successives depuis 2014. En mobilisant, à chaque nouvelle interpellation, de nombreux acteurs appelés à assurer la sécurité publique, il cause ainsi un préjudice non négligeable à la collectivité. La période pénale visée est d'un peu plus de deux mois, entre janvier et mars 2023. De surcroît, l'appelant a fait fi de l'interdiction de pénétrer dans le canton de Genève. Il a commis ces deux infractions en toute connaissance de cause, au vu de ses condamnations précédentes. De par son comportement, il a ainsi manifesté un mépris certain des dispositions du droit pénal des étrangers, banalisé les décisions prononcées à son encontre et témoigné, par sa persévérance, d'une volonté délictuelle prononcée. Sa collaboration dans la procédure a été bonne ; il a reconnu les faits, même s'il ne pouvait que difficilement les contester compte tenu des circonstances de son interpellation. Nonobstant les faits à l'origine de la présente procédure pénale, il est</w:t>
      </w:r>
    </w:p>
    <w:p>
      <w:r>
        <w:t>- 9/13 - P/5684/2023 manifestement resté en Suisse puisqu'il a été arrêté à plusieurs reprises depuis lors. Ainsi, sa prise de conscience ne semble pas même entamée. Sa situation personnelle peut expliquer ses actes sans toutefois les justifier, puisqu'elle résulte en grande partie de son refus de quitter un pays dans lequel il ne dispose d'aucune perspective d'avenir, en l'état. Ses antécédents sont en lien avec des violations du droit des étrangers et des infractions contre le patrimoine. Les condamnations dont il a fait l'objet n'ont manifestement pas suffi à le dissuader de récidiver. Il y a concours d'infractions, facteur aggravant. Le concours entre le séjour illégal et l'infraction à l'art. 119 al. 1 LEI en lien avec une interdiction de périmètre prononcée en raison du comportement de l'intéressé, sort l'appelant du champ d'application de la Directive sur le retour, de sorte que le prononcé d'une peine privative de liberté est possible. Il sera encore relevé, bien que l'argument ne soit pas plaidé, que la peine menace maximale prévue pour sanctionner les séjours illégaux n'est par ailleurs à ce jour pas atteinte. Au vu de ces éléments et dans la mesure où sa situation financière précaire laisse présager qu'il ne s'acquittera pas d'une peine pécuniaire, seule une peine privative de liberté semble apte à remplir la fonction de prévention spéciale. Il apparaît d'ailleurs contradictoire de la part de l'appelant de se prévaloir d'un travail rémunéré au sein de la prison pour échapper à une peine privative de liberté. 3.2.2. Les peines étant du même genre et les faits objets de la présente cause ayant été commis avant la condamnation du 13 novembre 2023, il y a lieu de prononcer une peine complémentaire. L'infraction abstraitement la plus grave est celle de vol, justifiant à elle seule une peine privative de liberté de 90 jours. Les infractions à l'art. 119 al. 1 LEI, commises à six reprises, justifient quant à elles une peine privative de liberté de 60 jours pour chaque occurrence (peine hypothétique de 90 jours). Le séjour illégal, d'une période pénale d'environ neuf mois, sanctionné par l'arrêt du 13 novembre 2023, couplé à la période de deux mois visée par la présente procédure, justifie encore une peine privative de liberté de 60 jours supplémentaires (peine hypothétique de 90 jours). La peine fixée par arrêt du 13 novembre 2023 comprenait également la révocation du sursis octroyé le 30 mars 2022 à une peine privative de liberté de 90 jours, lequel justifiait également une augmentation de 60 jours. Au total, c'est ainsi une quotité de 570 jours qui devrait être fixée si toutes les infractions avaient été jugées simultanément. Après déduction de la peine de 150 jours prononcée précédemment, la CPAR considère qu'une peine complémentaire de 420 jours aurait pu être prononcée. Au vu de l'interdiction de la reformatio in pejus (art. 391 al. 2 CPP), la peine complémentaire prononcée par le premier juge de 60 jours de peine privative de liberté, clémente, sera confirmée au bénéfice de la présente motivation.</w:t>
      </w:r>
    </w:p>
    <w:p>
      <w:r>
        <w:t>- 10/13 - P/5684/2023</w:t>
      </w:r>
    </w:p>
    <w:p>
      <w:r>
        <w:rPr>
          <w:b/>
        </w:rPr>
        <w:t>E. 4</w:t>
      </w:r>
    </w:p>
    <w:p>
      <w:r>
        <w:t>L'appelant, qui succombe, supportera les frais de la procédure envers l'État (art. 428 CPP).</w:t>
      </w:r>
    </w:p>
    <w:p>
      <w:r>
        <w:rPr>
          <w:b/>
        </w:rPr>
        <w:t>E. 5</w:t>
      </w:r>
    </w:p>
    <w:p>
      <w:r>
        <w:t>Considéré globalement, l'état de frais produit par Me B______, défenseure d'office de A______ satisfait les exigences légales et jurisprudentielles régissant l'assistance judiciaire gratuite en matière pénale. Sa rémunération sera partant arrêtée à CHF 908.05 correspondant à 3 heures et 30 minutes d'activité au tarif de CHF 200.- /heure plus la majoration forfaitaire de 20% et l'équivalent de la TVA au taux de 8.1% en CHF 68.05.</w:t>
      </w:r>
    </w:p>
    <w:p>
      <w:r>
        <w:t>* * * * *</w:t>
      </w:r>
    </w:p>
    <w:p>
      <w:r>
        <w:t>- 11/13 - P/5684/2023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