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AARP/97/2019 vom 17. Januar 2019</w:t>
      </w:r>
    </w:p>
    <w:p>
      <w:r>
        <w:t>GE Cour de justice, 2019-01-17, FR</w:t>
      </w:r>
    </w:p>
    <w:p>
      <w:r>
        <w:rPr>
          <w:b/>
        </w:rPr>
        <w:t xml:space="preserve">Quelle: </w:t>
      </w:r>
      <w:r>
        <w:t>https://mcp.opencaselaw.ch/entscheid/ge_gerichte_AARP_97_2019</w:t>
      </w:r>
    </w:p>
    <w:p>
      <w:r>
        <w:t>FR: GE_GERICHTE AARP/97/2019 du 17 janvier 2019</w:t>
      </w:r>
    </w:p>
    <w:p>
      <w:r>
        <w:t>IT: GE_GERICHTE AARP/97/2019 del 17 gennaio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A teneur de l'art. 66abis CP, applicable aux infractions commises à partir du 1er octobre 2016, le juge peut expulser un étranger du territoire suisse pour une durée de 3 à 15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de la Convention de sauvegarde des droits de l’homme et des libertés fondamentales du 4 novembre 1950 (CEDH - RS 0.101) (AARP/202/2017 du 16 juin 2017 consid. 2.5). L'art. 66abis CP est une Kannvorschrift (G. MÜNCH / F. DE WECK, Die neue Landesverweisung in Art. 66a ff. StGB, Revue de l'avocat 2016, p. 165 ; G. FIOLKA</w:t>
      </w:r>
    </w:p>
    <w:p>
      <w:r>
        <w:t>- 6/15 - P/23236/2018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2.1.2.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L'art. 66a al. 2 CP définit également une Kannvorschrift,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p. 96 ss ; A. BERGER, Umsetzungsgesetzgebung zur Ausschaffungsinitiative, in Jusletter 7 août 2017 n. 6.1 p. 20 ; AARP/185/2017 du 2 juin 2017 consid. 2.2).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w:t>
      </w:r>
    </w:p>
    <w:p>
      <w:r>
        <w:t>- 7/15 - P/23236/2018 strafrechtlichen Landesverweisung auf den Sanktionenvollzug, in SZK 1/2017 p. 88 ; M. BUSSLINGER/ P. UEBERSAX, op. cit., p. 100 s. ; A. BERGER, op. cit., p. 26 ; contra : G. FIOLKA/ L. VETTERLI, op. cit., p. 86 s.). Le Tribunal fédéral n'a pas tranché cette question (arrêt du Tribunal fédéral 6B_506/2017 du 14 février 2018 consid. 1.1 in fine). 2.1.3. Contrairement à ce qui prévaut en matière d'expulsion obligatoire au sens de l'art. 66a al. 1 CP, l'expulsion facultative impose le respect du principe de la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w:t>
      </w:r>
    </w:p>
    <w:p>
      <w:r>
        <w:t>- 8/15 - P/23236/2018 même si la dernière infraction dont il devait répondre n'était pas particulièrement grave. À noter que la durée de l'expulsion n'a pas à être symétrique à celle de la peine prononcée (arrêt du Tribunal fédéral 6B_242/2019 du 18 mars 2019, consid. 1.3). 2.1.4. L'art. 8 par. 1 de la Convention de sauvegarde des droits de l’homme et des libertés fondamentales du 4 novembre 1950 (CEDH - RS 0.101)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Selon la Cour européenne des droits de l'homme, une décision de révoquer un permis de séjour et/ou de prononcer une mesure d'interdiction du territoire à l'égard d'un immigré de longue durée à la suite d'une infraction pénale qui a valu à l'intéressé une</w:t>
      </w:r>
    </w:p>
    <w:p>
      <w:r>
        <w:t>- 9/15 - P/23236/2018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 arrêt du Tribunal fédéral 6B_506/2017 du 14 février 2018 consid. 2.2).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2.2.1. En l'espèce, l'appelant a été définitivement reconnu coupable de séjour illégal de sorte que son expulsion est facultative (art. 66abis CP). Bien que la nature et la gravité de l'infraction commise par l'appelant dans le cadre de la présente procédure soient relatives, ce que reflète la peine pécuniaire de 60 jours- amende, l'ensemble de ses antécédents doit être pris en compte. En effet, outre qu'il séjourne en Suisse sans titre valable depuis son arrivée en 2006, l'appelant s'est rendu coupable de manière réitérée d'infractions contre le patrimoine telles que des vols, dommages à la propriété, violations de domiciles mais aussi des infractions contre l'intégrité corporelle, telles des lésions corporelles simples, dont une aggravée, lésions corporelles graves mais aussi une tentative de brigandage en bande et brigandage. Ces condamnations démontrent son mépris patent de l'ordre juridique suisse et son incapacité totale à le respecter depuis son arrivée mais aussi sa dangerosité. Certes, la durée du séjour de l'appelant en Suisse est importante dans la mesure où il y est arrivé adolescent ou jeune adulte et y demeure depuis une quinzaine d'années. Cette longue durée n'est toutefois pas la conséquence d'une quelconque tolérance, mais de la persistance d'un comportement illicite. De plus, une bonne partie de ces années a été passée en détention, ce qui ne saurait être qualifié de séjour licite.</w:t>
      </w:r>
    </w:p>
    <w:p>
      <w:r>
        <w:t>- 10/15 - P/23236/2018 L'appelant ne s'est pourtant pas intégré en Suisse, dans la mesure où il n'y a jamais travaillé, si ce n'est en prison et n'y a pas de domicile fixe, si bien que sa situation personnelle au sein du pays apparaît particulièrement instable. A cet égard, le fait que l'appelant prétende vivre en concubinage et être le père d'un enfant qui serait âgé de sept à dix ans, qu'il n'aurait pas reconnu, ne saurait suffire à démonter l'existence de ses attaches avec la Suisse, dans la mesure où ses allégations apparaissent difficilement crédibles et ne sont nullement étayées. En particulier, aucun élément du dossier ne permet d'établir l'existence de cet enfant, pas plus que celle d'une quelconque relation nouée avec ce dernier, étant précisé que l'appelant n'a pas même été en mesure d'indiquer son nom de famille, son âge exact et son adresse, ses déclarations ayant été évasives et fluctuantes à ce sujet. Par ailleurs, même à supposer qu'il soit le père d'un enfant suisse, ses relations avec celui-ci seraient pour le moins ténues, dès lors qu'il aurait vécu la quasi-totalité de son existence sans voir son père, ce dernier ayant déclaré n'avoir jamais reçu de visite de sa famille lors de ses différentes incarcérations. La CPAR retiendra aussi que les liens l'unissant à son fils supposé sont d'autant plus faibles qu'il a indiqué ne pas subvenir à son entretien, ou du moins pas régulièrement. L'existence d'une concubine n'apparait pas plus vraisemblable, dans la mesure où l'appelant n'a livré aucune information susceptible de la rendre plausible, se contentant simplement d'affirmer avoir une "copine". De même, faute d'éléments concrets, l'existence d'un frère vivant à Genève ne peut être établie. Il n'a au demeurant pas prétendu entretenir des liens avec celui-ci. En dehors des explications qui précèdent, à prendre avec grande précaution, l'appelant n'a pas prétendu et encore moins démontré avoir développé dans ce pays un cercle social particulier, ni y exercer d'autres activités dénotant une intégration à la vie locale. Ainsi, la solidité des liens sociaux, culturels et familiaux du recourant avec la Suisse est très faible, voire inexistante malgré une importante durée de séjour. Les liens que l'appelant conserve avec l'Algérie paraissent tout aussi ténus, dans la mesure où il est arrivé en Suisse alors qu'il était adolescent et qu'il a indiqué ne plus avoir de famille dans son pays d'origine. Au regard de l'âge de l'appelant et de ses qualifications professionnelles supposées, ses chances de resocialisation ou de réinsertion ne sont pas moindres en Algérie</w:t>
      </w:r>
    </w:p>
    <w:p>
      <w:r>
        <w:t>- 11/15 - P/23236/2018 qu'en Suisse au contraire, dès lors que, faute d'autorisation valable, il a davantage de perspectives d'exercer une activité dans son pays d'origine plutôt qu'en Suisse. S'agissant de la pesée des intérêts à effectuer, la CPAR relèvera que l'appelant a été condamné à neuf reprises, notamment pour des faits très graves, lesquels dénotent le danger qu'il représente à l'avenir pour l'ordre et la sécurité publics suisses. Malgré plusieurs lourdes condamnations prononcées à son encontre, soit une peine privative de liberté de quinze mois en 2011 et de trois ans en 2014, l'appelant a continué à commettre des infractions graves, ce dont témoigne sa condamnation à quatre ans de peine privative de liberté en 2016. L'appelant n'a donc tiré aucune leçon de ses précédentes interpellations et condamnations et s'est durablement installé dans la délinquance. Dans ces conditions, l'intérêt public à l'expulser l'emporte sur la poursuite d'une vie en Suisse. Ainsi, une expulsion d'une durée limitée à 5 ans n'apparaît pas comme une atteinte disproportionnée à la vie privée de l'appelant. Le jugement entrepris sera donc confirmé sur ce point.</w:t>
      </w:r>
    </w:p>
    <w:p>
      <w:r>
        <w:rPr>
          <w:b/>
        </w:rPr>
        <w:t>E. 3</w:t>
      </w:r>
    </w:p>
    <w:p>
      <w:r>
        <w:t>L'appelant, qui succombe intégralement supportera les frais de la procédure envers l'Etat, lesquels comprennent un émolument de CHF 1'500.- (art. 428 CPP).</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de CHF 200.- pour le chef d'étude (let. c). En cas d'assujettissement, l'équivalent de la TVA est versé en sus.</w:t>
      </w:r>
    </w:p>
    <w:p>
      <w:r>
        <w:t>4.1.3. À teneur de la jurisprudence, est décisif pour fixer la rémunération de l'avocat, le nombre d'heures nécessaires pour assurer la défense d'office du prévenu (arrêt du</w:t>
      </w:r>
    </w:p>
    <w:p>
      <w:r>
        <w:t>- 12/15 - P/23236/2018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- 13/15 - P/23236/2018 4.1.4.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w:t>
      </w:r>
    </w:p>
    <w:p>
      <w:r>
        <w:t>4.2.1. En l'occurrence, en application de ces principes, il convient de retrancher de l'état de frais déposé par Me B______ :  180 minutes du poste conférences (non détaillé), un entretien de 30 minutes s'avérant amplement nécessaire pour discuter, dans ce dossier dénué de toute complexité et suivi ab initio, où seul l'expulsion est contestée, de l'opportunité d'un appel et des motifs à invoquer, étant relevé qu'aucune pièce n'a été versée à la procédure en appel ;  220 minutes du poste "procédures", pas davantage détaillé, 2h30 minutes s'avérant amplement nécessaires pour la rédaction du mémoire d'appel dans ce dossier, étant rappelé que les annonces et déclarations d'appel sont comprises dans le forfait pour activités diverses.</w:t>
      </w:r>
    </w:p>
    <w:p>
      <w:r>
        <w:t>4.2.2. En conclusion, l'indemnité sera arrêtée à CHF 775.45 correspondant à 3h d'activité au tarif de CHF 200.-/heure (CHF 600.-) plus la majoration forfaitaire de 20% (CHF 120.-) et l'équivalent de la TVA au taux de 7.7.% en (CHF 55.45). * * * * *</w:t>
      </w:r>
    </w:p>
    <w:p>
      <w:r>
        <w:t>- 14/15 - P/23236/2018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