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AARP/96/2017 vom 20. Oktober 2016</w:t>
      </w:r>
    </w:p>
    <w:p>
      <w:r>
        <w:t>GE Cour de justice, 2016-10-20, FR</w:t>
      </w:r>
    </w:p>
    <w:p>
      <w:r>
        <w:rPr>
          <w:b/>
        </w:rPr>
        <w:t xml:space="preserve">Quelle: </w:t>
      </w:r>
      <w:r>
        <w:t>https://mcp.opencaselaw.ch/entscheid/ge_gerichte_AARP_96_2017</w:t>
      </w:r>
    </w:p>
    <w:p>
      <w:r>
        <w:t>FR: GE_GERICHTE AARP/96/2017 du 20 octobre 2016</w:t>
      </w:r>
    </w:p>
    <w:p>
      <w:r>
        <w:t>IT: GE_GERICHTE AARP/96/2017 del 20 ottobre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Quand bien même la partie plaignante n'a pas donné formellement son accord pour le traitement de la procédure d'appel par voie écrite, la CPAR est d'avis que si l'art. 406 al. 2 CPP prévoit formellement l'accord "des parties", l'intention du législateur et du Tribunal fédéral, en vue de garantir la tenue d'un procès équitable, est d'admettre un droit d'être entendu oralement avant tout au prévenu, pour permettre notamment une appréciation directe de sa personnalité et de faire valoir de vive voix ses arguments, ce qui est corroboré par le texte de la loi qui mentionne le caractère indispensable ou non de sa présence aux débats d'appel (art. 406 al. 2 let. a CPP ; arrêt du Tribunal fédéral 6B_419/2013 du 26 septembre 2013). Il est partant douteux que le silence ou le refus d'une partie plaignante d'adhérer à une instruction écrite lie la juridiction d'appel au sens de cette disposition.</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w:t>
      </w:r>
    </w:p>
    <w:p>
      <w:r>
        <w:t>- 6/12 - P/4509/2016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139 ch. 1 CP sanctionne celui qui, pour se procurer ou procurer à un tiers un enrichissement illégitime, aura soustrait une chose mobilière appartenant à autrui dans le but de se l'approprier.</w:t>
      </w:r>
    </w:p>
    <w:p>
      <w:r>
        <w:rPr>
          <w:b/>
        </w:rPr>
        <w:t>E. 2.3</w:t>
      </w:r>
    </w:p>
    <w:p>
      <w:r>
        <w:t>En l'espèce, l'appelant a constamment prétendu ne pas se souvenir de ce qu'il aurait fait la nuit du vol de divers effets et valeurs constatés dans la voiture de la partie plaignante. Dans la mesure où son profil ADN a été retrouvé dans l'habitacle, sur l'étui ayant contenu la paire de lunettes de soleil de marque dérobée à l'intimée, la CPAR n’a aucun doute quant au fait qu'il ait introduit son bras ou sa main dans l'habitacle. Il s'est certainement blessé par le bris préalable de la vitre, en atteste la présence sur la portière avant de traces de sang, quand bien même le profil ADN n'en a pas expressément été attribué à l'appelant. Ce dernier n'avait ce faisant assurément d'autre but que de dérober les effets se trouvant dans le véhicule. Il n'est par ailleurs pas surprenant qu'il n'ait pas été retrouvé en possession du butin, interpellé près de cinq mois après les faits et se disant sans domicile fixe connu, ce qui excluait la possibilité d'une perquisition. Autant dire qu'il a largement eu le temps de receler son butin. Ce nonobstant, ayant bénéficié en première instance d'un acquittement pour les dommages à la propriété causés et seule une tentative de vol ayant été retenue à son encontre, le principe de l'interdiction de la reformatio in pejus exclut qu'il soit revenu en appel sur ces constatations (art. 391 al. 2 CPP), faute d'appel du Ministère public. La CPAR pourra ainsi tout au plus confirmer la culpabilité de l'appelant pour tentative de vol.</w:t>
      </w:r>
    </w:p>
    <w:p>
      <w:r>
        <w:t>- 7/12 - P/4509/2016 Le jugement de première instance sera confirmé sur ce point.</w:t>
      </w:r>
    </w:p>
    <w:p>
      <w:r>
        <w:t>2.4.1. Par arrêté fédéral du 18 juin 2010 (RO 2010 5925), la Suisse a repris la Directive sur le retour 2008/115/CE. Pour le Tribunal fédéral, il convient d'appliquer l'art. 115 LEtr en considération de la jurisprudence de la Cour de justice de l'Union européenne (ci-après : la CJUE) relative à ladite Directive, sans quoi la participation de la Suisse à Schengen pourrait être menacée (arrêts du Tribunal fédéral 6B_1172/2014 du 23 novembre 2015 consid. 1.1 ; 6B_196/2012 du 24 janvier 2013 consid. 2.1 ; 6B_173/2013 du 19 août 2013 consid. 1.1 ss). 2.4.2.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[éds], Migrationsrecht, Kommentar, 4e éd., Zurich 2015, n. 12 ad art. 115 AuG).</w:t>
      </w:r>
    </w:p>
    <w:p>
      <w:r>
        <w:rPr>
          <w:b/>
        </w:rPr>
        <w:t>E. 2.5</w:t>
      </w:r>
    </w:p>
    <w:p>
      <w:r>
        <w:t>L'appelant étant reconnu coupable de tentative de vol en sus d'une infraction à la législation sur les étrangers, la Directive européenne sur le retour ne trouve pas application. Il est constant que l’appelant a séjourné entre le 29 février 2012, date de sa sortie de La Brenaz, et son interpellation du 7 mars 2016, sur le territoire suisse sans être au bénéfice des autorisations nécessaires, démuni de papiers d'identité, de domicile fixe et de moyens d'existence, et bien que faisant l'objet d'une décision de non-entrée en matière sur sa demande d'asile du 8 février 2008, comportement constitutif d’infraction à l'art. 115 al. 1 let. b LEtr. Sa culpabilité pour ce chef d'infraction sera partant également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w:t>
      </w:r>
    </w:p>
    <w:p>
      <w:r>
        <w:t>- 8/12 - P/4509/2016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Bâle 2009, n. 55 ad art. 47).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3.1.4. Le juge peut par ailleurs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Cette réduction</w:t>
      </w:r>
    </w:p>
    <w:p>
      <w:r>
        <w:t>- 9/12 - P/4509/2016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3.1.2.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Pour l'octroi du sursis,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peut être exécuté. Lorsque des motifs de prévention spéciale permettent de considérer que l'une ou l’autre de ces peines seraient d'emblée inadaptées, le juge peut prononcer une peine privative de liberté de courte durée (arrêts du Tribunal fédéral 6B_765/2016 du 21 février 2017 et 6B_889/2015 du 30 mai 2016).</w:t>
      </w:r>
    </w:p>
    <w:p>
      <w:r>
        <w:rPr>
          <w:b/>
        </w:rPr>
        <w:t>E. 3.2</w:t>
      </w:r>
    </w:p>
    <w:p>
      <w:r>
        <w:t>Bien qu'il attaque le jugement dans son ensemble, l'appelant n'émet pas de critique spécifique sur la peine qui lui a été infligée. La CPAR retient que la faute n'est pas anodine puisque, outre une tentative de vol, il a commis une infraction à la LEtr portant sur plus de quatre ans. Il y a concours d'infractions entre la tentative de vol et l'infraction à l'art. 115 let. b LEtr, punissables d'une peine privative de liberté de cinq ans au plus ou d'une peine pécuniaire pour la première (dans sa forme achevée) et d'une peine privative de liberté d'un an au plus ou d'une peine pécuniaire pour la seconde.</w:t>
      </w:r>
    </w:p>
    <w:p>
      <w:r>
        <w:t>- 10/12 - P/4509/2016 Le mobile de l'appelant est égoïste. Sa situation personnelle, bien que précaire, ne peut justifier ses agissements dans la mesure où elle résulte de son choix de demeurer en Suisse sans droit. Sa collaboration à la procédure doit être qualifiée de moyenne. Bien qu'il ait admis certains faits, qu'il pouvait au demeurant difficilement contester ayant en particulier été interpellé sur le territoire où il résidait sans droit, il a continué à nier, jusqu'au stade de l'appel, l'évidence, sous couvert d'une prétendue absence de souvenirs, la tentative de vol en dépit des éléments contraires figurant au dossier et l'accablant. Sa prise de conscience apparait ainsi incomplète, le fait qu'il ait admis avoir commis une "bêtise" devant la police entrant en contradiction avec ce qu'il plaide encore en appel. Il a de nombreux antécédents pour des infractions contre le patrimoine et à la LEtr. Il n'a tiré aucune leçon des décisions de justice prises à son encontre et s'est montré insensible à ses condamnations à de courtes peines privatives de liberté. Il y a lieu de tenir compte que le vol en est resté au stade de la tentative. Vu la situation précaire de l'appelant en Suisse qui ne s'est pas améliorée depuis sa venue et dont aucun élément du dossier ne laisse présager que tel sera le cas à l'avenir, a fortiori vu une interdiction qui devrait lui être notifiée, le pronostic ne peut qu'être défavorable. Par conséquent, seule une peine ferme pouvait être prononcée. Eu égard à son statut administratif et aux peines privatives de liberté déjà prononcées, et, manifestement non dissuasives, la propension de l'appelant à commettre des infractions ne permet pas d'envisager une peine de travail d'intérêt général ou une peine pécuniaire au titre de sanction. C’est donc à bon droit que le premier juge l'a condamné à une peine privative de liberté ferme de 45 jours, dont ni le genre, ni la quotité ne sont discutés par l'appelant.</w:t>
      </w:r>
    </w:p>
    <w:p>
      <w:r>
        <w:rPr>
          <w:b/>
        </w:rPr>
        <w:t>E. 4</w:t>
      </w:r>
    </w:p>
    <w:p>
      <w:r>
        <w:t>Vu l'issue du litige, les prétentions de l'appelant fondée sur l'art. 429 CPP seront rejetées.</w:t>
      </w:r>
    </w:p>
    <w:p>
      <w:r>
        <w:rPr>
          <w:b/>
        </w:rPr>
        <w:t>E. 5</w:t>
      </w:r>
    </w:p>
    <w:p>
      <w:r>
        <w:t>L'appelant, qui succombe, supportera les frais de la procédure envers l'Etat, comprenant un émolument de CHF 1'500.- (art. 428 CPP). * * * * *</w:t>
      </w:r>
    </w:p>
    <w:p>
      <w:r>
        <w:t>- 11/12 - P/4509/2016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