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AARP/96/2015 vom 13. Januar 2015</w:t>
      </w:r>
    </w:p>
    <w:p>
      <w:r>
        <w:t>GE Cour de justice, 2015-01-13, FR</w:t>
      </w:r>
    </w:p>
    <w:p>
      <w:r>
        <w:rPr>
          <w:b/>
        </w:rPr>
        <w:t xml:space="preserve">Quelle: </w:t>
      </w:r>
      <w:r>
        <w:t>https://mcp.opencaselaw.ch/entscheid/ge_gerichte_AARP_96_2015</w:t>
      </w:r>
    </w:p>
    <w:p>
      <w:r>
        <w:t>FR: GE_GERICHTE AARP/96/2015 du 13 janvier 2015</w:t>
      </w:r>
    </w:p>
    <w:p>
      <w:r>
        <w:t>IT: GE_GERICHTE AARP/96/2015 del 13 gennaio 2015</w:t>
      </w:r>
    </w:p>
    <w:p>
      <w:pPr>
        <w:pStyle w:val="Heading2"/>
      </w:pPr>
      <w:r>
        <w:t>Erwägungen</w:t>
      </w:r>
    </w:p>
    <w:p>
      <w:r>
        <w:rPr>
          <w:b/>
        </w:rPr>
        <w:t>E. 41</w:t>
      </w:r>
    </w:p>
    <w:p>
      <w:r>
        <w:t>CP sont remplies (cf. art. 46 al. 1 CP). La fixation d'une peine d'ensemble, par application analogique de l'art. 49 CP, n'entre cependant pas en considération si la peine assortie du sursis révoqué et celle nouvellement prononcée sont du même genre (ATF 134 IV 241 consid. 4 p. 242 ss). 4.3.1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w:t>
      </w:r>
    </w:p>
    <w:p>
      <w:r>
        <w:t>- 20/25 - P/9774/2014 pénales applicables prévoient, de manière abstraite, des peines d'un même genre ne suffit pas (ATF 138 IV 120 consid. 5.2 p. 122 ss). 4.3.2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4.4.1 La faute des appelants n’est pas négligeable. Ils s’en sont pris au bien d’autrui pour leur profit personnel sans considération des dégâts occasionnés lors de leur passage. La faute de l’appelant B______ revêt une gravité accrue vu le nombre supérieur de cambriolages commis sur une période de 5 mois. Pour les deux appelants, il y a concours d’infractions. Si l’appelant B______ a fait preuve d’une certaine collaboration durant l’instruction en admettant trois des cinq occurrences reprochées, celle-ci doit néanmoins être nuancée au vu de ses déclarations circonstanciées aux éléments de preuve et à son refus de fournir l’identité de ses comparses pour les cambriolages du 7 décembre 2013 (_______) et dans la nuit du 3 au 4 mars 2014 (_______). A sa décharge, il a présenté des regrets en acquiesçant aux conclusions civiles formées par une des parties plaignantes. La collaboration de l’appelant A______ est mauvaise, l’intéressé persistant à nier les faits reprochés en appel en dépit de l’évidence. Il n’a pas non plus hésité à inviter ses comparses à mentir dans son seul intérêt, ni à communiquer avec un témoin, faussant ainsi les déclarations de celui-ci. Il s’ensuit une absence totale de prise de conscience. Bien que la situation personnelle de chacun des appelants ne soit pas des plus confortables, en particulier celle de l’appelant B______, rien ne justifie leur comportement que seul un appât du gain facile peut expliquer. Tant l’appelant A______, que l’appelant B______ ont plusieurs antécédents judiciaires, pour certains, voire la plupart, spécifiques. Tous deux ont déjà purgé des peines privatives de liberté fermes pour des infractions similaires et ont fait l’objet d’une condamnation à une peine privative de liberté d’au moins six mois au cours</w:t>
      </w:r>
    </w:p>
    <w:p>
      <w:r>
        <w:t>- 21/25 - P/9774/2014 des cinq ans précédant les faits qui leur sont reprochés. Les seuls sursis qui leur ont été octroyés pour des infractions à la LEtr n’ont pas été respectés, ce dans le but de commettre de nouvelles infractions sur le territoire suisse, risque qui subsiste dès lors qu’ils résident en _______. En ces circonstances, un pronostic particulièrement favorable pouvant justifier l’octroi d’un nouveau sursis, ne peut être envisagé. 4.4.2 Au vu de ce qui précède et de la confirmation du verdict de culpabilité pour les deux appelants, la Cour considère que les peines qui leur ont été infligées par le premier juge sont adaptées et proportionnées eu égard aux faits reprochés et à leurs situations personnelles. Ainsi, l’appelant A______ est condamné à une peine privative de liberté de 7 mois, et l’appelant B______, à une peine privative de liberté de 15 mois, toutes deux sous déduction de la détention subie avant jugement. Quant aux sursis qui leur ont été octroyés précédemment, il y a lieu de les révoquer, un pronostic favorable ne pouvant entrer en considération vu l’intensité de leur volonté délictuelle et le risque de récidive. Par conséquent, le jugement entrepris sera aussi confirmé sur ces points. 5) Vu l'issue de la procédure d'appel, les prétentions en indemnisation formulées par l'appelant B______ sont infondées et doivent être rejetées (art. 429 CPP). 6) Les appelants, qui succombent, supporteront les frais de la procédure envers l'État (art. 428 CPP). 7) 7.1 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le 21 octobre 2014. Il s’ensuit que l’état de frais de Me N______ relatif à la procédure de première instance a été adressé à la juridiction compétente pour statuer à cet égard.</w:t>
      </w:r>
    </w:p>
    <w:p>
      <w:r>
        <w:t>- 22/25 - P/9774/2014 7.2 L'indemnité est calculée selon le tarif horaire de CHF 200.- pour un chef d'étude, de CHF 125.- pour un avocat collaborateur et de CHF 65.- pour un avocat-stagiaire,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7.3.1 Me N_______ a été désignée défenseur d'office de l’appelant A______ le 13 mai 2014. Le 7 janvier 2015, elle a adressé son état de frais à la CPAR. S'agissant de l'activité déployée devant la juridiction d'appel, celui-ci est composé de 490 minutes au tarif d’avocat-collaborateur et de 900 minutes à celui d’avocat-stagiaire. A la lecture du détail des postes, il apparaît que 35 minutes d’activité de collaborateur et 45 minutes d’activité d’avocat-stagiaire consacrées à la « discussion du dossier », à l’ « analyse de l’ordonnance de la CPAR », à une vacation et à la « préparation des annexes de l’appel » doivent être retranchées pour être prises en considération dans le cadre du forfait y relatif. Au vu des principes susrappelés, 180, 60 et 90 minutes d’activité d’avocat-stagiaire pour une conférence avec le client, respectivement l’ « étude du dossier et du jugement motivé » et l’ « inspection de I______ » doivent aussi être déduites, pour ne pas être doublement facturées. La nature de la cause ne justifie pas de prendre en considération le temps facturé au titre de « recherches juridiques », tant pour le collaborateur (45 minutes déduites) que pour l’avocat-stagiaire (100 minutes). Pour les mêmes motifs, l’activité totale déployée dans le cadre de la rédaction de la déclaration d’appel doit être rapportée à 100 minutes pour le collaborateur et 45 minutes pour l’avocat-stagiaire.</w:t>
      </w:r>
    </w:p>
    <w:p>
      <w:r>
        <w:t>- 23/25 - P/9774/2014 Les 2 heures consacrées à l’audience du 13 janvier 2015 doivent être ajoutées. Pour le surplus, l'activité exercée par le conseil nommé d'office dans le cadre de la présente procédure est en adéquation avec la nature, l'importance et la difficulté de la cause. Ainsi, l'état de frais sera admis à concurrence de 490 minutes d'activité de collaborateur et de 415 minutes d’activité d’avocat-stagiaire, ce qui correspond à une indemnité de base de CHF 1'469.15. Dans la mesure où l’activité déployée en première instance en sus de celle effectuée en appel est vraisemblablement supérieure à 30 heures, il convient d'ajouter à ce montant précité l'indemnisation forfaitaire de 10 %, soit CHF 146.90. Il n’y a pas lieu à couverture de la TVA, à défaut de domicile en Suisse de l’appelant A______. 7.3.2 Me O_______ a été désigné défenseur d'office de l’appelant B______ le 13 mai 2014. Le 9 janvier 2015, il a déposé son état de frais à la CPAR. S'agissant de l'activité déployée devant la juridiction d'appel, celui-ci totalise 570 minutes d’activité de chef d’étude. Selon le détail du relevé, il apparaît que 50 minutes ont été consacrées à la rédaction de la déclaration d’appel. Comme ledit acte ne comportait pas de réquisition de preuve ni n’était motivé, il ne se justifie pas d’en tenir compte en dehors du forfait prévu à cet effet. Il en va de même des 20 minutes indiquées pour l’étude de « ordonnance de la CPAR ». Les 2 heures consacrées à l’audience du 13 janvier 2015 doivent être ajoutées. L'activité exercée par le conseil nommé d'office dans le cadre de la présente procédure est pour le surplus en adéquation avec la nature, l'importance et la difficulté de la cause. Par conséquent, l'état de frais sera admis à concurrence de 8 heures 45 minutes d'activité de chef d’étude, ce qui correspond à une indemnité de base de CHF 1’925.-. Dans la mesure où l’activité déployée en première instance en sus de celle effectuée en appel est vraisemblablement supérieure à 30 heures, il convient d'ajouter à ce montant précité l'indemnisation forfaitaire de 10 %, soit CHF 175.-, ainsi que les frais d’interprète pour un montant total de CHF 160.-. Il n’y a pas lieu à couverture de la TVA, à défaut de domicile en Suisse de l’appelant B______. * * * * *</w:t>
      </w:r>
    </w:p>
    <w:p>
      <w:r>
        <w:t>- 24/25 - P/9774/2014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