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AARP/95/2020 vom 3. März 2020</w:t>
      </w:r>
    </w:p>
    <w:p>
      <w:r>
        <w:t>GE Cour de justice, 2020-03-03, FR</w:t>
      </w:r>
    </w:p>
    <w:p>
      <w:r>
        <w:rPr>
          <w:b/>
        </w:rPr>
        <w:t xml:space="preserve">Quelle: </w:t>
      </w:r>
      <w:r>
        <w:t>https://mcp.opencaselaw.ch/entscheid/ge_gerichte_AARP_95_2020</w:t>
      </w:r>
    </w:p>
    <w:p>
      <w:r>
        <w:t>FR: GE_GERICHTE AARP/95/2020 du 3 mars 2020</w:t>
      </w:r>
    </w:p>
    <w:p>
      <w:r>
        <w:t>IT: GE_GERICHTE AARP/95/2020 del 3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juridiction d’appel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w:t>
      </w:r>
    </w:p>
    <w:p>
      <w:r>
        <w:t>- 5/10 - P/8590/2019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en cas de peines de genre différent (ATF 144 IV 217 consid. 3.5.4 ; 144 IV 313 consid. 1.1.2).</w:t>
      </w:r>
    </w:p>
    <w:p>
      <w:r>
        <w:rPr>
          <w:b/>
        </w:rPr>
        <w:t>E. 2.5</w:t>
      </w:r>
    </w:p>
    <w:p>
      <w:r>
        <w:t>Contrairement à ce qu’il parait soutenir, la faute de l’appelant n’est pas légère. Certes, la quantité de cocaïne en cause est relativement faible ; néanmoins il s’adonnait, comme il le reconnaît, à la vente de rue, phénomène qui non seulement porte atteinte à la santé des consommateurs, même peu nombreux, mais aussi provoque de constants désagréments aux usagers de l’espace public et habitants des quartiers où ce commerce illicite est pratiqué, ainsi que mobilise l’énergie des forces de l’ordre et autorités appelées à le réprimer au détriment, in fine, des deniers publics. Il en va de même des violations des règles sur le séjour des étrangers, qui, si elles ne relèvent en effet pas de la « grande délinquance » constituent néanmoins des activités délictuelles et sont d’autant plus sérieuses en l’occurrence que l’appelant est revenu en Suisse après l’exécution d’un renvoi. La durée du séjour illégal présentement en cause est longue puisqu’elle est de près de 15 mois. La violation d’une interdiction de périmètre est par ailleurs évocatrice du mépris de l’appelant pour les règles et décisions en vigueur. La faute pour ces infractions est donc au moins moyenne. Contrairement à ce que soutient l’intéressé, sa collaboration ne peut être qualifiée de bonne étant rappelé qu’il n’a pas répondu aux questions de la police et que s’il a certes admis les faits devant le MP, il ne pouvait guère faire autrement, au regard des</w:t>
      </w:r>
    </w:p>
    <w:p>
      <w:r>
        <w:t>- 7/10 - P/8590/2019 éléments du dossier. Il n’y a au demeurant aucune tentative d’introspection, l’appelant n’ayant pas même esquissé des excuses ou tenté d’expliquer son attitude. Les antécédents de l’appelants sont mauvais et spécifiques. Ils justifieraient à eux seuls que l’on s’éloigne des directives du Procureur général, si celles-ci liaient le juge du fond. Celui-ci doit d’ailleurs se départir de tout schématisme au profit de l’individualisation de la peine. Comme le relève le MP, le prononcé de précédentes sanctions sous forme de peine pécuniaire n’a eu aucun effet dissuasif et on ignore s’il s’en est acquitté, ce qu’il ne soutient pas, étant rappelé que les sursis ont été révoqués. La peine privative de liberté de 60 jours prononcée le 1er mars 2018 n’a pas eu plus de succès. Dans ces circonstances, le premier juge a considéré à raison que seule une peine privative de liberté entrait en considération, ce à quoi on ajoutera que la quotité doit en être assez importante, tout en demeurant proportionnée à la faute, pour représenter un signal plus fort que le précédent. Par surabondance, il est retenu aussi que les vagues allégations de l’appelant relatives à l’aide dont il bénéficierait pour subvenir à ses besoins ne sont pas crédibles ; au demeurant, mêmes si des tiers généreux lui donnaient de quoi se nourrir, vêtir et loger, il n’en aurait pas pour autant les ressources nécessaires pour payer une peine pécuniaire, fût-elle d’un montant minime, dès lors qu’il n’en a aucune, licite à tout le moins. Il y a concours d’infraction, la plus grave abstraitement étant celle de vente de stupéfiants, commise à deux reprises, ce qui appelle une peine de 45 jours pour la première et 30 pour la seconde. Une aggravation de 45 jours pour le séjour illégal et l’interdiction de périmètre, s’avère ainsi adéquate, voire clémente, le principe de l’interdiction de la reformatio in pejus interdisant d’explorer cette dernière question.</w:t>
      </w:r>
    </w:p>
    <w:p>
      <w:r>
        <w:rPr>
          <w:b/>
        </w:rPr>
        <w:t>E. 2.6</w:t>
      </w:r>
    </w:p>
    <w:p>
      <w:r>
        <w:t>L’appelant ne discute, à raison, pas la peine pécuniaire de 10 jours sanctionnant l’empêchement d’accomplir un acte officiel, elle aussi révélatrice du peu de cas que l’appelant fait de l’autorité.</w:t>
      </w:r>
    </w:p>
    <w:p>
      <w:r>
        <w:rPr>
          <w:b/>
        </w:rPr>
        <w:t>E. 2.7</w:t>
      </w:r>
    </w:p>
    <w:p>
      <w:r>
        <w:t>L’appel est partant rejeté. 3. L’appelant, qui succombe, supportera les frais de la procédure comprenant un émolument de CHF 1'000.- (art. 428 CPP). 4. L’activité de deux heures facturée par la défenseure d’office de l’appelant est adéquate et satisfaits aux exigences légales et jurisprudentielles régissant l’assistance judiciaire. Celle-ci sera partant rémunérée par CHF 516.95 (= [CHF 200 x 2] + 80.- au titre de forfait pour les activités diverses + CHF 36.95 de TVA au taux de 7.7%). * * * * *</w:t>
      </w:r>
    </w:p>
    <w:p>
      <w:r>
        <w:t>- 8/10 - P/8590/2019</w:t>
      </w:r>
    </w:p>
    <w:p>
      <w:r>
        <w:rPr>
          <w:b/>
        </w:rPr>
        <w:t>E. 7</w:t>
      </w:r>
    </w:p>
    <w:p>
      <w:r>
        <w:t>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w:t>
      </w:r>
    </w:p>
    <w:p>
      <w:r>
        <w:t>- 6/10 - P/8590/2019 Tribunal fédéral 6B_341/2017 du 23 janvier 2018 consid. 1.1 ; 6B_1030/2016 du 2 février 2017 consid. 2.2.2 ; 6B_372/2017 du 15 novembre 2017 consid. 1.1 ; 6B_889/2015 du 30 mai 2016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