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AARP/95/2018 vom 28. März 2018</w:t>
      </w:r>
    </w:p>
    <w:p>
      <w:r>
        <w:t>GE Cour de justice, 2018-03-28, FR</w:t>
      </w:r>
    </w:p>
    <w:p>
      <w:r>
        <w:rPr>
          <w:b/>
        </w:rPr>
        <w:t xml:space="preserve">Quelle: </w:t>
      </w:r>
      <w:r>
        <w:t>https://mcp.opencaselaw.ch/entscheid/ge_gerichte_AARP_95_2018</w:t>
      </w:r>
    </w:p>
    <w:p>
      <w:r>
        <w:t>FR: GE_GERICHTE AARP/95/2018 du 28 mars 2018</w:t>
      </w:r>
    </w:p>
    <w:p>
      <w:r>
        <w:t>IT: GE_GERICHTE AARP/95/2018 del 28 marzo 2018</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novembre 2009 consid. 2.1). Comme règle de l'appréciation des preuves, le principe in dubio pro reo interdit au juge de se déclarer convaincu d'un état de fait défavorable à l'accusé, lorsqu'une appréciation objective des éléments de preuves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w:t>
      </w:r>
    </w:p>
    <w:p>
      <w:r>
        <w:rPr>
          <w:b/>
        </w:rPr>
        <w:t>E. 2.2</w:t>
      </w:r>
    </w:p>
    <w:p>
      <w:r>
        <w:t>L'art. 19 al. 1 LStup réprime d'une peine privative de liberté de trois ans au plus ou d'une peine pécuniaire, le comportement de celui qui, sans droit, aliène ou prescrit</w:t>
      </w:r>
    </w:p>
    <w:p>
      <w:r>
        <w:t>- 6/16 - P/2857/2017 des stupéfiants, en procure de toute autre manière à un tiers ou en met dans le commerce (let. c) ou celui qui, sans droit, possède, détient ou acquiert des stupéfiants ou s'en procure de toute autre manière (let. d). L'infraction est intentionnelle, le dol éventuel étant suffisant.</w:t>
      </w:r>
    </w:p>
    <w:p>
      <w:r>
        <w:rPr>
          <w:b/>
        </w:rPr>
        <w:t>E. 2.3</w:t>
      </w:r>
    </w:p>
    <w:p>
      <w:r>
        <w:t>Il est indéniable et clairement établi, ce que reconnaît l'appelant, que le 8 février 2017, à la vue de la police, celui-ci a remis pour les cacher deux barrettes totalisant plus de 50 gr de haschich et trois gouttes de cocaïne d'un poids total de 2 gr à une connaissance, malgré elle, dans le quartier de C______. Il prétend que cette drogue était destinée à sa seule consommation personnelle. Il détenait toutefois une quantité conséquente de haschich et de la cocaïne conditionnée pour la revente, à l'exclusion de tout autre matériel pour consommer ces drogues, que ce soit du papier à cigarette, un outil pour réduire les morceaux de haschich en poudre et fabriquer les 15 joints qu'il prétend fumer par jour, ou une cuiller où chauffer la cocaïne, alors même qu'il concède n'avoir aucun lieu de vie fixe. Il a de plus varié dans ses déclarations s'agissant de la provenance du haschich, tantôt donnée par un ami maghrébin, tantôt acheté pour CHF 200.- et n'est pas davantage crédible en prétendant avoir trouvé la cocaïne à proximité d'un dealer africain, puis dans une cachette, alors même qu'il dit en être dépendant de sorte qu'il ne pourrait laisser au seul hasard la possibilité d'obtenir régulièrement les quantités nécessaires à assouvir son vice. C'est aussi en fonction de ce qu'il pensait le mieux servir sa cause qu'il a tantôt prétendu que les CHF 180.- qu'il détenait provenaient d'une copine, puis de sa sœur, laquelle aurait aussi financé l'acquisition du haschich à hauteur de CHF 200.-, un montant d'au minimum la moitié de ce qui se constate à Genève pour la quantité saisie. Autrement dit, l'appelant n'avait pas les moyens, sans en trafiquer, d'assumer une consommation de haschich, mais également de cocaïne, quotidiennement, pour autant qu'avérée, ne serait-ce qu'à hauteur de 15 joints par jours, si l'on s'en tient à la version qui lui serait la plus favorable. Enfin, ses nombreuses condamnations pour faits spécifiques sont autant d'éléments supplémentaires qui finissent de convaincre qu'il existe un faisceau d'indices plaidant indubitablement en faveur d'un trafic de drogue auquel s'est à nouveau livré l'intimé le 8 février 2017, à l'exclusion d'une détention de telles quantités de haschich, en morceaux, et de trois gouttes de cocaïnes telles que vendues dans la rue, pour sa seule consommation. Sa condamnation pour infraction à l'art. 19 al. 1 LStup sera partant confirmée.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w:t>
      </w:r>
    </w:p>
    <w:p>
      <w:r>
        <w:t>- 7/16 - P/2857/2017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t>Ces principes valent aussi pour le choix entre plusieurs sanctions possibles, et non seulement pour la détermination de la durée de celle qui est prononcée (arrêt 6B_611/2014 du 9 mars 2015 consid. 4.2).</w:t>
      </w:r>
    </w:p>
    <w:p>
      <w:r>
        <w:rPr>
          <w:b/>
        </w:rPr>
        <w:t>E. 3.2</w:t>
      </w:r>
    </w:p>
    <w:p>
      <w:r>
        <w:t>En matière de trafic de stupéfiants, il y a lieu de tenir compte, plus spécialement, des circonstances suivantes (arrêt du Tribunal fédéral 6B_843/2014 du 7 avril 2015 consid. 1.1.1 ; voir aussi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 (ATF 122 IV 299 consid. 2c p. 301 ; ATF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w:t>
      </w:r>
    </w:p>
    <w:p>
      <w:r>
        <w:t>- 8/16 - P/2857/2017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w:t>
      </w:r>
    </w:p>
    <w:p>
      <w:r>
        <w:rPr>
          <w:b/>
        </w:rPr>
        <w:t>E. 3.3</w:t>
      </w:r>
    </w:p>
    <w:p>
      <w:r>
        <w:t>À teneur de l'art. 115 al. 1 let. b LEtr, est puni d'une peine privative de liberté d'un an au plus ou d'une peine pécuniaire quiconque séjourne illégalement en Suisse, notamment après l'expiration de la durée du séjour non soumis à autorisation ou du séjour autorisé. Le séjour illégal au sens de l'art. 115 al. 1 let. b LEtr est un délit de durée, un délit continu. L'infraction est achevée au moment où le séjour prend fin. L'infraction peut être à nouveau commise si, après avoir été jugé pour de tels faits, le condamné poursuit ou renouvelle son séjour illégal en Suisse. La condamnation en raison de ce délit opère une césure, de sorte que le fait pour le prévenu de perpétuer sa situation irrégulière après le prononcé d'un premier jugement constitue un acte indépendant permettant une nouvelle condamnation pour la période non couverte par la première décision (principe ne bis in idem ; ATF 135 IV 6 consid. 3.2 p. 9 ; arrêt du Tribunal fédéral 6B_1226/2013 du 31 mars 2014 consid. 1.1). En vertu du principe de la culpabilité sur lequel repose le droit pénal, les peines prononcées dans plusieurs procédures pénales en raison de l'effet de césure ne peuvent dépasser la peine maximale prévue par la loi pour l'infraction en question (ATF 135 IV 6 consid. 4.2 p. 11 ; arrêt du Tribunal fédéral 6B_1226/2013 précité). La somme des peines prononcées à raison du délit continu doit ainsi être adaptée à la faute considérée dans son ensemble et ne pas excéder un an. Le prévenu sera exempté de toute peine si les condamnations prononcées antérieurement atteignent ou dépassent la peine maximale prévue par la loi. La durée de la détention subie devra par ailleurs être examinée si l'autorité envisage de révoquer une éventuelle libération conditionnelle. Si celle-ci atteint ou dépasse un an, il devra être renoncé à la révocation (arrêt du Tribunal fédéral 6B_715/2015 du 21 mars 2016 consid. 2.6).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w:t>
      </w:r>
    </w:p>
    <w:p>
      <w:r>
        <w:t>- 9/16 - P/2857/2017 considérée dans son ensemble et ne pas excéder la peine maximale prévue par la loi (ibidem).</w:t>
      </w:r>
    </w:p>
    <w:p>
      <w:r>
        <w:rPr>
          <w:b/>
        </w:rPr>
        <w:t>E. 3.4</w:t>
      </w:r>
    </w:p>
    <w:p>
      <w:r>
        <w:t>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3.5</w:t>
      </w:r>
    </w:p>
    <w:p>
      <w:r>
        <w:t>S'il est vrai qu'un accusé a en principe le droit de se taire et de nier les accusations portées contre lui,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p. 57 ; arrêt du Tribunal fédéral 6B_364/2008 du 10 juillet 2008 consid. 1.2). 3.6.1.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(ATF 138 IV 120 consid. 5.2 p. 122 ss). 3.6.2.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- 10/16 - P/2857/2017</w:t>
      </w:r>
    </w:p>
    <w:p>
      <w:r>
        <w:rPr>
          <w:b/>
        </w:rPr>
        <w:t>E. 3.7</w:t>
      </w:r>
    </w:p>
    <w:p>
      <w:r>
        <w:t>En l'espèce, la faute de l'appelant n’est pas anodine. Il s'est livré à un trafic de drogue pour des quantités qui ne sont pas négligeables, en particulier s'agissant des plus de 50 gr de haschich qu'il s'apprêtait à mettre sur le marché, outre les trois gouttes de cocaïne, une drogue dure. Ses mobiles sont égoïstes, relevant de l’appât du gain s’agissant du trafic de stupéfiants et de la désinvolture face aux règles en vigueur. Même si la précarité de la situation personnelle de l'appelant explique, en partie, ses agissements, elle ne saurait les justifier, étant relevé que son absence totale de liens avec la Suisse rend encore moins compréhensible son insistance à rester en toute illégalité dans ce pays. Interpellé au centre-ville de Genève, en possession de stupéfiants, sa ruse n'ayant pas échappé aux observations de la police, l'appelant n'en a pas moins contesté tout trafic de stupéfiants, persistant ainsi jusqu'en appel à soutenir l'indéfendable, d’où une collaboration mauvaise et l'absence de toute prise de conscience du caractère illicite de ses actes. Il y a concours d'infractions entre les art. 19 al. 1 LStup et 115 al. 1 let.b LEtr, ce qui commanderait une augmentation de la peine dans une juste proportion et exclut l'application de la Directive sur le retour (arrêt du Tribunal fédéral 6B_320/2013 du 29 août 2013 consid. 3.2). L'examen du casier judiciaire de l'appelant conduit cependant à constater que celui-ci a globalement déjà purgé plus d'un an de détention pour séjour illégal, de la manière constatée par les instances de jugement de Genève et Fribourg en 2014 et 2016. Par conséquent, le plafond fixé par la jurisprudence est désormais atteint. L'intimé sera donc exempté de toute peine du chef de séjour illégal. Aucune des circonstances atténuantes prévues par l'art. 48 CP n'est réalisée, ni d’ailleurs plaidée. La seule peine pécuniaire infligée par le passé n’a eu aucun effet dissuasif, ce qui a amené au prononcé de peines privatives de liberté pour 13 des 14 condamnations de l'appelant. Ses multiples récidives montrent que ce celui-ci ne fait aucun cas des décisions des autorités. Vu ses nombreux antécédents spécifiques, le pronostic se présente sous un jour fort défavorable, ce qui exclut le prononcé du sursis, au demeurant non plaidé. Pour des motifs de prévention spéciale, seule une peine privative de liberté entre en ligne de compte.</w:t>
      </w:r>
    </w:p>
    <w:p>
      <w:r>
        <w:t>Au vu de ce qui précède et, en particulier, de l'exemption de peine prononcée en lien avec l'infraction à LEtr, une peine privative de liberté de 100 jours, complémentaire à celle prononcée le 3 avril 2017 par le Tribunal de police, consacre une application correcte des critères de l'art. 47 CP.</w:t>
      </w:r>
    </w:p>
    <w:p>
      <w:r>
        <w:t>- 11/16 - P/2857/2017 Le jugement entrepris sera donc réformé dans le sens de ces considérants.</w:t>
      </w:r>
    </w:p>
    <w:p>
      <w:r>
        <w:rPr>
          <w:b/>
        </w:rPr>
        <w:t>E. 4</w:t>
      </w:r>
    </w:p>
    <w:p>
      <w:r>
        <w:t>4.1.1. L'art. 70 al. 1 CP autorise le juge à confisquer des valeurs patrimoniales qui sont le résultat d'une infraction, si elles ne doivent pas être restituées au lésé en rétablissement de ses droits. 4.1.2. La confiscation d'objets ou de valeurs patrimoniales ne constitue pas une sanction in personam, mais une mesure réelle (in rem), dont le but premier consiste à éviter le maintien d'un avantage consécutif à un acte pénalement punissable (G. STRATENWERTH, Schweizerisches Strafrecht, AT II, 2e éd., Berne 2006, § 13, n. 86 ; M. VOUILLOZ, "Le nouveau droit suisse de la confiscation pénale et de la créance compensatrice, art. 69 à 73 CP", PJA 2007 p. 1388 et 1391). Dès lors qu'il s'agit d'une mesure qui porte gravement atteinte à la propriété, elle doit respecter le principe de la proportionnalité (ATF 125 IV 185 consid. 2a) p. 187 ; ATF 116 IV 117 consid. 2a) p. 121). 4.1.3. Il doit exister un rapport de connexité entre l'infraction et les valeurs patrimoniales à confisquer. L'infraction doit ainsi être la cause essentielle et adéquate de l'obtention des valeurs patrimoniales et celles-ci doivent typiquement provenir de l'infraction en question. Il doit donc exister, entre l'infraction et l'obtention des valeurs patrimoniales, un lien de causalité tel que la seconde apparaisse comme la conséquence directe et immédiate de la première (ATF 129 II 453 consid. 4.1 p. 461). Il existe un lien de causalité lorsque l'obtention des valeurs patrimoniales est un élément objectif ou subjectif de l'infraction ou lorsqu'elle constitue un avantage direct découlant de la commission de l'infraction (ATF 129 IV 453 consid. 4.1 p. 461 ; arrêt du Tribunal fédéral 1B.185/2007 du 30 novembre 2007 consid. 9 ; arrêt du Tribunal fédéral 6S_324/200 du 6 septembre 2000 consid. 5c/bb ; SJ 1999 p. 417 consid. 2a p. 419). 4.1.4. Dans le domaine des stupéfiants, la question de la preuve du rapport de connexité doit s'appréhender à l'aune du fait que l'art. 19 LStup ne réprime pas globalement le "trafic de stupéfiants", mais érige différents comportements en autant d'infractions indépendantes, chaque acte, même répété, constituant une infraction distincte. Cependant, on ne saurait en déduire qu'une mesure de confiscation nécessiterait, dans ce contexte, d'établir un rapport de connexité entre chaque acte isolé constitutif d'une infraction au sens de l'art. 19 LStup et un montant correspondant, retiré de cet acte. En d'autres termes, on ne peut exiger du juge qu'il reconstitue a posteriori, au franc près, chaque transaction et le montant de son produit, respectivement la comptabilité précise du trafic, pour être à même de confisquer les sommes en main d'un trafiquant. Certes le juge ne peut-il se borner à exiger de l'auteur ou d'un tiers séquestré qu'il démontre l'origine licite des sommes en cause, pas plus qu'il ne peut se borner à constater une origine délictuelle indéterminée ou simplement vraisemblable. En revanche, le juge doit prononcer la confiscation lorsqu'il parvient à la conclusion, après avoir examiné l'ensemble des circonstances pertinentes – y compris, le cas échéant, l'incapacité de l'intéressé à</w:t>
      </w:r>
    </w:p>
    <w:p>
      <w:r>
        <w:t>- 12/16 - P/2857/2017 justifier l'origine de fonds rendus suspects par d'autres éléments probants –, que les valeurs patrimoniales en cause sont le résultat d'un trafic appréhendé dans sa globalité. Une telle conclusion s'imposera d'autant plus lorsque l'aggravante de la bande (cf. art. 19 al. 2 let. b LStup) ou du métier (cf. art. 19 al. 2 let. c et d LStup) sont réalisées, puisqu'elles tiennent précisément compte d'une pluralité d'infractions à l'art. 19 al. 1 LStup (arrêt du Tribunal fédéral 6B_474/2016 du 6 février 2017 consid. 3.1. et les références, SJ 2017 I 366).</w:t>
      </w:r>
    </w:p>
    <w:p>
      <w:r>
        <w:rPr>
          <w:b/>
        </w:rPr>
        <w:t>E. 4.2</w:t>
      </w:r>
    </w:p>
    <w:p>
      <w:r>
        <w:t>L'appelant réclame la restitution des CHF 180.- saisis sur sa personne. Il a varié dans ses explications s'agissant de leur provenance, avançant tout d'abord qu'ils lui avaient été remis par sa copine pour ensuite prétendre que c'était par sa sœur, résidant en France. Il n'a nullement étayé ses propos, que ce soit par une confirmation de l'une ou l'autre de ces femmes ou la trace d'un transfert par un organisme tel G______, n'ayant au demeurant donné aucune explication sur la manière et le lieu où cet argent lui aurait concrètement été envoyé, en l'absence de tout compte bancaire et de tout domicile en Suisse. Ces déclarations ne jouissent ainsi d'aucune crédibilité. Force est d'en conclure que ces espèces, en l'absence de tout autre revenu avéré et en présence d'un trafic de stupéfiants établi, sont bien le produit de ventes de drogue de sorte que leur confiscation et leur dévolution à l'Etat sera confirmée.</w:t>
      </w:r>
    </w:p>
    <w:p>
      <w:r>
        <w:rPr>
          <w:b/>
        </w:rPr>
        <w:t>E. 5</w:t>
      </w:r>
    </w:p>
    <w:p>
      <w:r>
        <w:t>Vu l'issue de la procédure, les prétentions en indemnisation de l'appelant sont infondées et seront rejetées (art. 429 CPP).</w:t>
      </w:r>
    </w:p>
    <w:p>
      <w:r>
        <w:rPr>
          <w:b/>
        </w:rPr>
        <w:t>E. 6.1</w:t>
      </w:r>
    </w:p>
    <w:p>
      <w:r>
        <w:t>Selon les art. 426 al. 1 et 428 al. 1 CPP, les frais de la procédure de première instance – que la CPAR est tenue de revoir lorsqu'elle rend une nouvelle décision (art. 428 al. 3 CPP) – et d'appel sont mis à la charge des parties dans la mesure où elles succombent.</w:t>
      </w:r>
    </w:p>
    <w:p>
      <w:r>
        <w:rPr>
          <w:b/>
        </w:rPr>
        <w:t>E. 6.2</w:t>
      </w:r>
    </w:p>
    <w:p>
      <w:r>
        <w:t>L'appelant voit sa peine légèrement réduite en appel de sorte qu'il convient de ne mettre que les 3/4 de l'émolument complémentaire de jugement de première instance à sa charge, le solde étant laissé à celle de l'Etat.</w:t>
      </w:r>
    </w:p>
    <w:p>
      <w:r>
        <w:rPr>
          <w:b/>
        </w:rPr>
        <w:t>E. 6.3</w:t>
      </w:r>
    </w:p>
    <w:p>
      <w:r>
        <w:t>Succombant pour le surplus, il se verra condamner aux 3/4 des frais de la procédure d'appel, comprenant un émolument de CHF 2'000.- (art. 428 CPP).</w:t>
      </w:r>
    </w:p>
    <w:p>
      <w:r>
        <w:rPr>
          <w:b/>
        </w:rPr>
        <w:t>E. 7.1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w:t>
      </w:r>
    </w:p>
    <w:p>
      <w:r>
        <w:rPr>
          <w:b/>
        </w:rPr>
        <w:t>E. 7.2</w:t>
      </w:r>
    </w:p>
    <w:p>
      <w:r>
        <w:t>Selon l'art. 135 al. 1 CPP, le défenseur d'office est indemnisé conformément au tarif des avocats de la Confédération ou du canton du for du procès. S'agissant d'une</w:t>
      </w:r>
    </w:p>
    <w:p>
      <w:r>
        <w:t>- 13/16 - P/2857/2017 affaire soumise à la juridiction cantonale genevoise, l'art. 16 du règlement sur l'assistance juridique du 28 juillet 2010 (RAJ ; E 2 05.04) s'applique.</w:t>
      </w:r>
    </w:p>
    <w:p>
      <w:r>
        <w:t>Cette dernière disposition prescrit que l'indemnité, en matière pénale, est calculée selon le tarif horaire de CHF 200.- pour un chef d'étude (let. c) et de 65.- pour l'avocat-stagiaire (let. a).</w:t>
      </w:r>
    </w:p>
    <w:p>
      <w:r>
        <w:t>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rPr>
          <w:b/>
        </w:rPr>
        <w:t>E. 7.3</w:t>
      </w:r>
    </w:p>
    <w:p>
      <w:r>
        <w:t>En l'occurrence, l'indemnisation requise par le défenseur d'office de l'appelant paraît adéquate, de sorte qu'il n'est pas nécessaire de reprendre le détail du poste qui compose son état de frais. Aussi, l'indemnité requise de CHF 596.15, correspondant à 1h00 au tarif de CHF 200.- et à 4h00 à celui de CHF 65.- (CHF 260.-), plus le forfait pour activités diverses de 20% (CHF 92.-) et l'équivalent de la TVA au taux de 8 % selon la pratique transitoire du Pouvoir judiciaire (CHF 44.15), sera-t-elle allouée. * * * * *</w:t>
      </w:r>
    </w:p>
    <w:p>
      <w:r>
        <w:t>- 14/16 - P/2857/2017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