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AARP/95/2017 vom 20. September 2016</w:t>
      </w:r>
    </w:p>
    <w:p>
      <w:r>
        <w:t>GE Cour de justice, 2016-09-20, FR</w:t>
      </w:r>
    </w:p>
    <w:p>
      <w:r>
        <w:rPr>
          <w:b/>
        </w:rPr>
        <w:t xml:space="preserve">Quelle: </w:t>
      </w:r>
      <w:r>
        <w:t>https://mcp.opencaselaw.ch/entscheid/ge_gerichte_AARP_95_2017</w:t>
      </w:r>
    </w:p>
    <w:p>
      <w:r>
        <w:t>FR: GE_GERICHTE AARP/95/2017 du 20 septembre 2016</w:t>
      </w:r>
    </w:p>
    <w:p>
      <w:r>
        <w:t>IT: GE_GERICHTE AARP/95/2017 del 20 settembre 2016</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w:t>
      </w:r>
    </w:p>
    <w:p>
      <w:r>
        <w:t>- 9/25 - P/9138/2015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Par procurer, l’on entend toute activité d’intermédiaire consistant soit à mettre en relation l'un avec l'autre un aliénateur et un acquéreur potentiels de stupéfiants, soit à négocier, même en partie, pour l'un d'eux (B. CORBOZ, Les infractions en droit suisse, vol. II, 3e éd., Berne 2010, n. 35 ad art. 19 LStup). L'infraction est intentionnelle, le dol éventuel étant suffisant. 2.3.1. Il est indéniable et clairement établi par les observations des policiers, dont il n'y a pas lieu de remettre en cause la crédibilité, que le 8 mai 2015, l'appelant A______ se trouvait seul dans l'appartement 2______ situé au cinquième étage du 1______, avenue E______ à leur arrivée. Prenant conscience d'une intervention imminente des forces de l'ordre qui venaient de sonner à la porte et de se légitimer, il s'est débarrassé par la fenêtre, sous les yeux d'un autre policier, d'un sac contenant 20 "savons" de haschisch d'un poids total de près de deux kilos. Il détenait dans son portefeuille CHF 1'000.- et EUR 150.- en multiples coupures. Dans l'armoire de la cuisine ont été retrouvés 10 "savons" supplémentaires, au conditionnement identique à ceux venant d'être jetés par la fenêtre, ainsi que CHF 4'800.- en plusieurs coupures. Un téléphone portable iPhone se trouvait sur la petite table du salon. Autrement dit, l'appartement servait de véritable repère à un trafic de haschisch. L'appelant A______ ne convainc pas lorsqu'il prétend ne s'y être trouvé que deux ou quatre jours avant l'intervention policière, selon les explications données, et n'avoir eu finalement pour mission, à la demande de l'un des quatre maghrébins habitant cet appartement, sans autre précision, que de se débarrasser de partie de la drogue pour le cas où la police interviendrait. Les circonstances de son interpellation et son comportement alors ne laissent planer aucun doute sur son implication dans ce trafic de stupéfiants. Bien plus, il vient maladroitement revendiquer en appel la restitution des CHF 4'800.- trouvés avec la drogue dont il prétendait jusque-là qu'il ignorait</w:t>
      </w:r>
    </w:p>
    <w:p>
      <w:r>
        <w:t>- 10/25 - P/9138/2015 l'existence. La découverte de nombreuses espèces supplémentaires en francs suisses et en euros sur sa personne assoit cette conviction de sa participation à ce trafic de haschisch, les explications données quant à leur provenance n'étant ni crédibles, ni étayées. Enfin, l'appelant A______ a, moins d'un an avant les faits objets de la présente procédure, été arrêté dans la même rue en possession d'une barrette et d'une plaque de haschisch pour plus de 121 g, élément corroborant le fait qu'il connaît le commerce de ce genre de drogue et des personnes à même de l'écouler. La CPAR n'a de même aucun doute s'agissant de la participation de l'appelant C______ à ce même trafic et ne retient pas le hasard comme explication à sa présence au moment de l'intervention de la police à l'entrée de l'appartement. Il sied de relever à cet égard que ce détail d'importance figure clairement dans le rapport de police et que ce n'est que tardivement dans la procédure que l'appelant C______ a tenté de prétendre qu'il n'avait pas été interpellé en train d'entrer dans ledit appartement, mais dans l'ascenseur. Il n'a pas voulu donner de quelconques renseignements sur la copine qu'il venait prétendument visiter et son souci de l'épargner laisse davantage à penser qu'elle n'existe pas ou à tout le moins ne vit pas dans cet immeuble. L'appelant C______ est par ailleurs mis en cause par la possession de plusieurs centaines de francs suisses en multiples coupures pour lesquelles il n'a pas pu donner d'explication fiable, ni a fortiori étayée, et le fait qu'il a refusé de donner le code d'accès à son téléphone portable SAMSUNG. Le manque singulier de crédibilité de ses déclarations doit s'examiner aussi à l'aune de ses précédentes condamnations pour des faits spécifiques, en particulier celle du 17 mai 2016 pour la détention, le 19 février 2015, soit moins de trois mois avant les faits objets de la présente procédure, d'un morceau de 142 g de haschisch au carrefour I______, fort proche de l'adresse à l'avenue E______. Sur la base des éléments susmentionnés constituant un faisceau d'indices convergents, la CPAR a acquis la conviction que les deux appelants étaient bien parties prenantes à un trafic de haschich portant sur 2'891 g de cette substance abrité dans l'appartement visé par l'enquête. Leur condamnation pour infraction à l'art. 19 al. 1 LStup sera partant confirmée. 2.3.2. L'appelant C______ se voit en sus reprocher la détention le 20 mai 2015 de 12 grammes de haschisch, en deux morceaux à teneur du rapport de police, destinés à la vente, l'ordonnance pénale semblant comporter une erreur à ce niveau-là en retenant un conditionnement en trois sachets. A l'instar du premier juge, la CPAR est convaincue que cette drogue n'était pas destinée à sa consommation personnelle, dont il avait au demeurant dit le 9 mai 2015 l'avoir cessée, au vu de la quantité saisie, du conditionnement de la drogue (qu'elle soit en plaques ou en sachets, et non en vrac) et du geste de l'appelant consistant à s'en débarrasser à la vue de la police. Par ailleurs, il détenait un billet de CHF 50.- à l'évidence produit d'un tel trafic en l'absence de toute autre source de revenus avérée, billet pouvant provenir d'une vente</w:t>
      </w:r>
    </w:p>
    <w:p>
      <w:r>
        <w:t>- 11/25 - P/9138/2015 juste avant son interpellation selon les propos tenus aux policiers, qu'il n'y a, là encore, pas lieu de remettre en cause, avant son interrogatoire. Sa condamnation pour infraction à l'art. 19 al. 1 LStup en lien avec les faits survenus le 20 mai 2015 sera partant également confirmée. 2.4.1. L'art. 115 al. 1 let. b LEtr réprime le comportement de quiconque séjourne illégalement en Suisse, notamment après l'expiration de la durée du séjour non soumis à autorisation ou du séjour autorisé. 2.4.2.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Le Tribunal fédéral a précisé, en se fondant sur la jurisprudence européenne (arrêt du</w:t>
      </w:r>
    </w:p>
    <w:p>
      <w:r>
        <w:rPr>
          <w:b/>
        </w:rPr>
        <w:t>E. 2.5</w:t>
      </w:r>
    </w:p>
    <w:p>
      <w:r>
        <w:t>En l'espèce, il est établi et non contesté en appel que les deux appelants ont séjourné en Suisse, démunis de papiers d'identité, de domicile fixe, de moyens de subsistance et sans être au bénéfice des autorisations nécessaires. Si l'appelant A______ prétend résider usuellement à Marseille auprès de son frère, cette information n'est nullement documentée. Il faut prendre avec circonspection cette affirmation dans la mesure où il a également prétendu tantôt ne pas avoir d'enfant, tantôt être père d'une fille en bas âge. Toujours est-il que les deux appelants n'ont pas le moindre projet d'un retour dans leur pays d'origine. Ils semblent ainsi bien les seuls responsables de la situation créée. Les deux appelants se sont rendus coupable d'infraction à l'art. 115 al. 1 let. b LEtr, étant rappelé que la Directive sur le retour n'est pas applicable en l'espèce vu leur condamnation pour infraction à l'art. 19 al. 1 LStup (cf. consid. 2.3.1. et 2.3.2. supra).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- 13/25 - P/9138/2015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En matière de trafic de stupéfiants, il y a lieu de tenir compte, plus spécialement, des circonstances suivantes (arrêt du Tribunal fédéral 6B_843/2014 du</w:t>
      </w:r>
    </w:p>
    <w:p>
      <w:r>
        <w:rPr>
          <w:b/>
        </w:rPr>
        <w:t>E. 6</w:t>
      </w:r>
    </w:p>
    <w:p>
      <w:r>
        <w:t>décembre 2011 C-329/11 Achughbabian, pt 41), que la Directive sur le retour n'est pas applicable aux ressortissants des pays tiers qui ont commis, outre le séjour irrégulier, un ou plusieurs autres délits en dehors du droit pénal sur les étrangers (arrêt du Tribunal fédéral 6B_320/2013 du 29 août 2013 consid. 3.2.). 2.4.3. La punissabilité du séjour irrégulier suppose enfin que l'étranger ne se trouve pas dans l'impossibilité, par exemple en raison d'un refus du pays d'origine d'admettre le retour de leur ressortissant, de quitter la Suisse et de rentrer dans son pays d'origine. En effet le principe de la faute suppose la liberté de pouvoir agir autrement (arrêt du Tribunal fédéral 6B_320/2013 du 29 août 2013 consid. 2.1 in fine). 2.4.4. Le séjour illégal est un délit continu. La condamnation en raison de ce délit opère une césure, de sorte que le fait pour le prévenu de perpétuer sa situation irrégulière après le prononcé d'un premier jugement constitue un acte indépendant permettant une nouvelle condamnation à raison des faits non couverts par le premier jugement, en conformité du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w:t>
      </w:r>
    </w:p>
    <w:p>
      <w:r>
        <w:t>- 12/25 - P/9138/2015 peuvent dépasser la peine maximale prévue par la loi pour l'infraction en question (ATF 135 IV 6 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chef d'étude CHF 200.- (let. c). En cas d'assujettissement,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w:t>
      </w:r>
    </w:p>
    <w:p>
      <w:r>
        <w:t>- 20/25 - P/9138/2015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w:t>
      </w:r>
    </w:p>
    <w:p>
      <w:r>
        <w:t>- 21/25 - P/9138/2015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[rédaction du mémoire d'appel]).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w:t>
      </w:r>
    </w:p>
    <w:p>
      <w:r>
        <w:rPr>
          <w:b/>
        </w:rPr>
        <w:t>E. 7</w:t>
      </w:r>
    </w:p>
    <w:p>
      <w:r>
        <w:t>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w:t>
      </w:r>
    </w:p>
    <w:p>
      <w:r>
        <w:t>- 14/25 - P/9138/2015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est applicable lorsque le tribunal doit juger des infractions que l’auteur a commises avant d’être condamné pour d’autres infractions (ATF 129 IV 113 consid. 1.1 = JdT 2005 IV 51). La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(ATF 138 IV 113 consid. 3.4.1 p. 115 = JdT 2013 IV 63). Nonobstant la séparation des poursuites pénales en plusieurs procédures, l’auteur ne doit ainsi pas être désavantagé et, dans la mesure du possible, pas non plus avantagé par rapport à l’auteur dont les actes sont jugés simultanément (ATF 132 IV 102 consid. 8.2 p. 105 et les références citées). La fixation d'une peine d'ensemble n'est pas possible en cas de sanctions de genre différent. Ainsi, une peine privative de liberté ne peut être prononcée comme peine</w:t>
      </w:r>
    </w:p>
    <w:p>
      <w:r>
        <w:t>- 15/25 - P/9138/2015 complémentaire d'une sanction pécuniaire. Ces dernières doivent être prononcées de manière cumulative, car le principe de l'absorption s'applique seulement aux peines du même genre. (ATF 137 IV 57 consid. 4.3.1). 3.1.6.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3.1.7.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peut être exécuté. Lorsque des motifs de prévention spéciale permettent de considérer que l'une ou l’autre de ces peines seraient d'emblée inadaptées, le juge peut prononcer une peine privative de liberté de courte durée (arrêts du Tribunal fédéral 6B_765/2016 du 21 février 2017 et 6B_889/2015 du 30 mai 2016). 3.1.8. La juridiction d'appel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 CPP). Une sanction plus sévère demeure réservée en cas de faits nouveaux qui ne pouvaient pas être connus du tribunal de première instance (art. 391 al. 2 2ème phr. CPP). Le but de</w:t>
      </w:r>
    </w:p>
    <w:p>
      <w:r>
        <w:t>- 16/25 - P/9138/2015 cette disposition est de permettre au prévenu d'exercer son droit de recours sans craindre d'être puni plus sévèrement (ATF 139 IV 282 consid. 2.4.3 p. 287 et les références citées). L'existence d'une reformatio in pejus doit être examinée à l'aune du dispositif (ATF 139 IV 282 consid. 2.6 p. 289 ; arrêt du Tribunal fédéral 6B_392/2015 du 11 mars 2016 consid. 2.1). Une restriction liée à la prohibition de la reformatio in pejus ne se justifie pas lorsque, pris dans son ensemble, le nouveau jugement n'aggrave pas le sort du condamné (cf. ATF 117 IV 97 consid. 4c p. 106 ; dans ce sens également arrêt du Tribunal fédéral 6B_156/2011 du 17 octobre 2011 consid. 2.5.2). 3.2. En l'espèce, la faute des appelants est importante. Leur trafic a porté sur des quantités significatives de haschich et ils n'ont pas agi pour financer leur propre consommation mais uniquement par appât du gain. Les appelants n'ont tiré aucune leçon de leurs précédentes condamnations pour des faits spécifiques, ce qui démontre qu'ils n'ont pas su tenir compte des avertissements donnés. Ils ont préféré le gain facile, au détriment de la santé d'autrui dont ils ne font aucun cas. L'appelant C______ a été à nouveau interpellé quelques jours plus tard en possession de haschich, ce qui témoigne de l'intensité de sa volonté délictuelle et de sa pleine implication dans le trafic mis en place. Les antécédents plus nombreux de A______ justifient le prononcé de peines équivalentes pour les appelants, nonobstant la mise en cause de l'appelant C______ pour cette occurrence supplémentaire du 20 mai 2015. Même si la précarité de la situation personnelle de l'appelant C______, et de l'appelant A______ dans une apparente moindre mesure si l'on retient qu'il vivrait auprès de son frère à Marseille lorsqu'il n'est pas à Genève, dont ils sont seuls responsables, explique en partie leurs agissements, elle ne saurait les justifier, étant relevé leur insistance à rester, respectivement revenir en Suisse en toute illégalité, enfreignant délibérément les normes en vigueur en matière de droit des étrangers. Leur prise de conscience est inexistante et leur collaboration à l'enquête a été mauvaise, les appelants persistant à nier toute implication dans le trafic qui leur est reproché, préférant trouver des explications fantaisistes lorsqu'ils sont confrontés à des preuves. Il y a concours d'infractions entre les art. 19 al. 1 LStup et 115 let. b LEtr. Ainsi, la peine privative de liberté fixée à quatre mois par le premier juge tient adéquatement compte de l'ensemble de ces éléments et s'avère même clémente. 3.3.1. Cette peine sera partant confirmée pour l'appelant A______. 3.3.2. La quotité de la peine privative de liberté doit cependant être réexaminée d'office (art. 404 al. 2 CPP) pour l'appelant C______ du fait du concours rétrospectif</w:t>
      </w:r>
    </w:p>
    <w:p>
      <w:r>
        <w:t>- 17/25 - P/9138/2015 avec la peine privative de liberté de 60 jours prononcée par la CPAR le 17 mai 2016 dont le premier juge n'a pas tenu compte. La jurisprudence récente du Tribunal fédéral en matière de concours rétrospectif ne règle pas le cas de figure de celui où toutes les infractions sont d’une même gravité. Pour fixer la peine complémentaire à infliger à l’appelant dans la présente procédure, il apparaît dès lors judicieux de fixer une peine d’ensemble, aggravée au vu du concours, et d’en soustraire les peines d’ores et déjà prononcées, afin de respecter le principe de l’autorité de la chose jugée, ce qui donnera la peine complémentaire. Il peut être estimé que si la Chambre de céans avait eu à connaître des infractions objet des condamnations pertinentes en l’espèce et des faits de la présente cause, la peine privative de liberté aurait été de 180 jours au minimum vu en particulier les quantités de drogue et d'espèces en jeu et les antécédents de l'appelant, ce qui reviendrait à fixer, dans le cadre de la présente procédure, une peine complémentaire de quatre mois, dont il a déjà été relevé qu'elle était particulièrement clémente. Il n'y a partant pas de raison de réduire la peine prononcée dans la présente procédure qui, dans la mesure où elle reste identique dans le dispositif, ne contrevient pas à l'interdiction de la reformatio in pejus. 3.4. La non révocation des sursis est acquise aux appelants (art. 391 al. 2 CPP). 4. 4.1.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w:t>
      </w:r>
    </w:p>
    <w:p>
      <w:r>
        <w:t>- 18/25 - P/9138/2015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 4.2. En l'espèce il sera rappelé que dans l'appartement occupé par les appelants ont été retrouvés le 8 mai 2015 pas moins de CHF 4'800.-, en sus des CHF 1'000.- et EUR 150.- saisis sur l'appelant A______ et des CHF 780.- en petites coupures retrouvés sur l'appelant C______. Tous deux avaient de la sorte à l'évidence pris le soin de répartir les risques pour le cas où la police interviendrait. Les appelants, dépourvus de toute source de revenus licites, sont incapables de justifier de la provenance des sommes saisies, étant précisé que celles-ci sont constituées de petites et moyennes coupures. Dès lors, la CPAR considère qu'il existe un faisceau d'indices convergents s'agissant d'une provenance illicite des sommes saisies, à savoir qu'elles sont le produit du trafic de stupéfiants reproché aux appelants (arrêt du Tribunal fédéral 6B_474/2016 du 6 février 2017 consid. 3.3). La confiscation de ces sommes et leur dévolution à l'Etat seront donc confirmées. Dans la mesure où l'appelant C______ détenait un téléphone portable de marque SAMSUNG à chacune de ses interpellations en mai 2015 et qu'il n'avait pas d'autre revenu que celui provenant de la vente de stupéfiants, la CPAR tient pour établi que ces appareils ont été acquis au moyen du produit du trafic de stupéfiants, voire y ont participé, étant souligné que l'appelant a refusé de donner le code de déverrouillage du téléphone saisi le 8 mai 2015. Dans la mesure où l'appelant A______ prétend que l'iPhone (n° IMEI 3______) ne lui appartient pas, on saisit mal le motif de sa demande de restitution, le raisonnement développé pour le téléphone portable SAMSUNG s'appliquant pour le surplus. La confiscation des téléphones et leur destruction seront donc confirmées et le jugement confirmé sur ces points également.</w:t>
      </w:r>
    </w:p>
    <w:p>
      <w:r>
        <w:t>- 19/25 - P/9138/2015 5. Les appelants, qui succombent, supporteront chacun la moitié des frais de la procédure envers l'Etat, comprenant un émolument de CHF 2'500.- (art. 428 CPP). 6.</w:t>
      </w:r>
    </w:p>
    <w:p>
      <w:r>
        <w:rPr>
          <w:b/>
        </w:rPr>
        <w:t>E. 12</w:t>
      </w:r>
    </w:p>
    <w:p>
      <w:r>
        <w:t>septembre 2013 [énoncé du principe] ; AARP/142/2016 du 14 avril 2016 consid. 5.4.1, AARP/281/2015 du 25 juin 2015 et AARP/272/2015 du 1er juin 2015 [lecture des jugement, déclaration d'appel, ordonnance et arrêt de la CPAR]).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- 22/25 - P/9138/2015 6.3.1. En application de ces principes, il convient de retrancher de l'état de frais de Me D______ : • 20 minutes pour le poste "prise de connaissance du jugement", document tenant sur 14 pages et ne dépassant pas ce qui est usuellement admissible à titre de forfait pour activités diverses.</w:t>
      </w:r>
    </w:p>
    <w:p>
      <w:r>
        <w:t>6.3.2. En conclusion, l'indemnité sera arrêtée à CHF 1'036.80, correspondant à 4 heures d'activité au tarif de CHF 200.-/heure (CHF 800.-) plus la majoration forfaitaire de 20% (CHF 160.-) et l'équivalent de la TVA au taux de 8% en CHF 76.80. 6.4.1. S'agissant de l'état de frais de Me B______, défenseur d'office de A______, il convient, en application de ces mêmes principes, d'en retrancher : • 1h pour la rédaction de la déclaration d'appel, entrant dans le forfait pour activités diverses ; • 1h pour le poste "travail sur dossier" : qu'il concerne l'activité du 22 novembre 2016 ou celle de février 2017, 1h pour un tel poste étant globalement amplement suffisant dans ce dossier censé bien connu et qui n'a pas connu de développements particuliers.</w:t>
      </w:r>
    </w:p>
    <w:p>
      <w:r>
        <w:t>6.4.2. En conclusion, l'indemnité sera également arrêtée à CHF 777.60, correspondant à 3 heures d'activité au tarif de CHF 200.-/heure (CHF 600.-) plus la majoration forfaitaire de 20% (CHF 120.-) et l'équivalent de la TVA au taux de 8% en CHF 57.60.</w:t>
      </w:r>
    </w:p>
    <w:p>
      <w:r>
        <w:t>* * * * *</w:t>
      </w:r>
    </w:p>
    <w:p>
      <w:r>
        <w:t>- 23/25 - P/9138/2015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