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AARP/93/2026 vom 11. März 2026</w:t>
      </w:r>
    </w:p>
    <w:p>
      <w:r>
        <w:t>GE Cour de justice, 2026-03-11, FR</w:t>
      </w:r>
    </w:p>
    <w:p>
      <w:r>
        <w:rPr>
          <w:b/>
        </w:rPr>
        <w:t xml:space="preserve">Quelle: </w:t>
      </w:r>
      <w:r>
        <w:t>https://mcp.opencaselaw.ch/entscheid/ge_gerichte_AARP_93_2026</w:t>
      </w:r>
    </w:p>
    <w:p>
      <w:r>
        <w:t>FR: GE_GERICHTE AARP/93/2026 du 11 mars 2026</w:t>
      </w:r>
    </w:p>
    <w:p>
      <w:r>
        <w:t>IT: GE_GERICHTE AARP/93/2026 del 11 marzo 2026</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t>- 5/11 - P/4818/2024</w:t>
      </w:r>
    </w:p>
    <w:p>
      <w:r>
        <w:rPr>
          <w:b/>
        </w:rPr>
        <w:t>E. 1.2</w:t>
      </w:r>
    </w:p>
    <w:p>
      <w:r>
        <w:t>Conformément aux considérants de l'arrêt du Tribunal fédéral 6B_59/2025 du 9 avril 2025, la nouvelle décision de la Chambre de céans portera uniquement sur la question de l'expulsion et sur les conséquences qui en découlent en matière de frais.</w:t>
      </w:r>
    </w:p>
    <w:p>
      <w:r>
        <w:rPr>
          <w:b/>
        </w:rPr>
        <w:t>E. 2</w:t>
      </w:r>
    </w:p>
    <w:p>
      <w:r>
        <w:t>2.1.1.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 l'interdiction de la double peine qui découle notamment de l'art. 6 CEDH (AARP/202/2017 du 16 juin 2017 consid. 2.5). 2.1.2. À teneur de l’art 12a de l’ordonnance relative au code pénal, au code pénal militaire et au droit pénal des mineurs (O-CP-CPM-DPMIN), lorsqu’il y a concours d’expulsions, celles-ci sont fusionnées pour la durée de leur exécution simultanée. Il n'y a pas cumul d'expulsions mais absorption de l’une par l’autre (arrêt du Tribunal fédéral 6B_1392/2022 du 26 janvier 2023 consid. 7).</w:t>
      </w:r>
    </w:p>
    <w:p>
      <w:r>
        <w:rPr>
          <w:b/>
        </w:rPr>
        <w:t>E. 2.2</w:t>
      </w:r>
    </w:p>
    <w:p>
      <w:r>
        <w:t>En l’espèce, il ressort de l’extrait du casier judiciaire mis à jour de l’appelant que les expulsions prononcées les 3 août 2017 et 13 juillet 2022 n’ont pas encore commencé à prendre effet, puisqu’il n’a toujours pas quitté la Suisse. Dans la mesure où l’expulsion, objet de la présente procédure de renvoi, n’est pas de nature obligatoire, il convient de constater qu’il n’existe aucun intérêt juridique ou matériel à son examen, dès lors que cette mesure serait sans portée, puisqu’elle se confondrait avec celles déjà prononcées et non exécutées. Il est donc superflu de l’envisager. Cela ne signifie toutefois pas qu’il y est renoncé, au sens des art. 62 al. 2 ou 63 al. 3 LEI, et le dispositif du présent arrêt ne statuera dès lors pas sur l’expulsion, ni dans le sens d’un prononcé, ni dans le sens d’une renonciation à cette mesure.</w:t>
      </w:r>
    </w:p>
    <w:p>
      <w:r>
        <w:rPr>
          <w:b/>
        </w:rPr>
        <w:t>E. 3</w:t>
      </w:r>
    </w:p>
    <w:p>
      <w:r>
        <w:t>3.1.1.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w:t>
      </w:r>
    </w:p>
    <w:p>
      <w:r>
        <w:t>- 6/11 - P/4818/2024 3.1.2.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 3.1.3. 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Tribunal fédéral doivent être laissés à la charge de l'État si l'autorité d'appel doit revoir favorablement sa décision à la suite de l'arrêt de renvoi (arrêt du Tribunal fédéral 6B_1367/2017 du 13 avril 2018 consid. 2.1). 3.2.1. Il n'y a pas lieu de modifier la répartition des frais opérée en première instance, vu les actes d'enquête nécessaires entrepris et la confirmation quasi intégrale du verdict de culpabilité, dans la mesure où son acquittement du chef d'injure résulte uniquement du retrait des plaintes intervenu en appel (art. 428 al. 3 CPP). 3.2.2. En ce qui concerne la procédure d'appel antérieure à l'arrêt du Tribunal fédéral du 9 avril 2025, l'appelant l'emporte sur les questions de sa culpabilité du chef d'injure, qui résulte, comme susmentionné, d'un retrait de plaintes, mais succombe sur sa culpabilité des chefs de rupture de ban, de violence ou menace contre les autorités et les fonctionnaires et d'infraction à la LStup. Il l'emporte également sur la peine et son expulsion de Suisse. Dans ces circonstances, 50% des frais de la procédure d'appel, lesquels s'élèvent à CHF 1'775.-, y compris un émolument d'arrêt de CHF 1'500.-, seront mis à la charge de l'appelant et le solde laissé à l'État. 3.2.3. Au vu de la portée de l'arrêt de renvoi rendu par le Tribunal fédéral, qui est en faveur de l'appelant, les frais de la présente procédure d'appel, post-renvoi, doivent être laissés entièrement à la charge de l'État.</w:t>
      </w:r>
    </w:p>
    <w:p>
      <w:r>
        <w:rPr>
          <w:b/>
        </w:rPr>
        <w:t>E. 4</w:t>
      </w:r>
    </w:p>
    <w:p>
      <w:r>
        <w:t>4.1.1.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w:t>
      </w:r>
    </w:p>
    <w:p>
      <w:r>
        <w:t>- 7/11 - P/4818/2024</w:t>
      </w:r>
    </w:p>
    <w:p>
      <w:r>
        <w:t>4.1.2.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4.1.3. 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4.1.4.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rPr>
          <w:b/>
        </w:rPr>
        <w:t>E. 4.2</w:t>
      </w:r>
    </w:p>
    <w:p>
      <w:r>
        <w:t>En l'occurrence, l'activité de Me B______ consacrée à un entretien avec le client du 5 février 2026 d’une heure, intervenue après la rédaction des déterminations du 3 février 2026, apparaît excessive à ce stade de la procédure, aucun élément nouveau n'étant apparu au dossier, et sera réduite à 15 minutes. La prise de connaissance des déterminations de l'OCPM (1 page et demie) et celles du MP (une phrase) seront retranchées de l'état de frais, ces actes faisant partie intégrante du forfait, tout comme les observations spontanées du 12 février 2026 (une demi-page) en réaction à la</w:t>
      </w:r>
    </w:p>
    <w:p>
      <w:r>
        <w:t>- 8/11 - P/4818/2024 position du MP, qui ne faisait que s’en rapporter à justice. Les recherches juridiques n’ont pas à être indemnisées, conformément à la jurisprudence établie, et seront supprimées, tout comme la lecture de l’arrêt du TF indemnisée par ce dernier. Enfin, le taux de 20% sera appliqué au titre de la majoration forfaitaire, pour tenir compte de l'activité déployée depuis le début de la procédure, conformément aux principes susmentionnés.</w:t>
      </w:r>
    </w:p>
    <w:p>
      <w:r>
        <w:t>En conclusion, sa rémunération sera arrêtée à CHF 778.30, correspondant à quatre heures d'activité au tarif de CHF 150.-/heure (CHF 600.-) plus la majoration forfaitaire de 20% (CHF 120.-) et l'équivalent de la TVA au taux de 8.1% (CHF 58.30). * * * * *</w:t>
      </w:r>
    </w:p>
    <w:p>
      <w:r>
        <w:t>- 9/11 - P/4818/2024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