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AARP/93/2018 vom 26. März 2018</w:t>
      </w:r>
    </w:p>
    <w:p>
      <w:r>
        <w:t>GE Cour de justice, 2018-03-26, FR</w:t>
      </w:r>
    </w:p>
    <w:p>
      <w:r>
        <w:rPr>
          <w:b/>
        </w:rPr>
        <w:t xml:space="preserve">Quelle: </w:t>
      </w:r>
      <w:r>
        <w:t>https://mcp.opencaselaw.ch/entscheid/ge_gerichte_AARP_93_2018</w:t>
      </w:r>
    </w:p>
    <w:p>
      <w:r>
        <w:t>FR: GE_GERICHTE AARP/93/2018 du 26 mars 2018</w:t>
      </w:r>
    </w:p>
    <w:p>
      <w:r>
        <w:t>IT: GE_GERICHTE AARP/93/2018 del 26 marzo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w:t>
      </w:r>
    </w:p>
    <w:p>
      <w:r>
        <w:t>La Chambre limite son examen aux violations décrites dans l'acte d'appel (art. 404 al. 1 CPP), sauf en cas de décisions illégales ou inéquitables (art. 404 al. 2 CPP).</w:t>
      </w:r>
    </w:p>
    <w:p>
      <w:r>
        <w:t>- 5/10 - P/22602/2014</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 ATF 127 I 38 consid. 2a ; ATF 124 IV 86 consid. 2a ; arrêt du Tribunal fédéral 6B_1015/2016 du 27 octobre 2017 consid. 4.1).</w:t>
      </w:r>
    </w:p>
    <w:p>
      <w:r>
        <w:rPr>
          <w:b/>
        </w:rPr>
        <w:t>E. 2.2</w:t>
      </w:r>
    </w:p>
    <w:p>
      <w:r>
        <w:t>Aux termes de l'art. 252 CP,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L'art. 252 CP vise tant le faux matériel, qui consiste dans la fabrication d'un document faux ou la falsification d'un document, que le faux intellectuel, c'est-à-dire l'établissement d'un document qui émane de son auteur apparent, mais qui est mensonger dans la mesure où son contenu ne correspond pas à la réalité (ATF 126 IV 65 consid. 2a p. 67). Un simple mensonge écrit ne constitue pas un faux intellectuel punissable. Il est nécessaire, pour que le mensonge soit punissable comme faux intellectuel, que le document ait une capacité accrue de convaincre, parce qu'il présente des garanties objectives de la véracité de son contenu.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142 IV 119 consid. 2.1 et les références citées ; ATF 138 IV 130 consid. 2.1 ; arrêts du Tribunal fédéral 6B_55/2017 du 24 mars 2017 consid. 2.2 et 6B_117/2015 du 11 février 2016 consid. 2.4.1).</w:t>
      </w:r>
    </w:p>
    <w:p>
      <w:r>
        <w:t>- 6/10 - P/22602/2014 Tel est le cas lorsque certaines assurances objectives garantissent aux tiers la véracité de la déclaration. Il peut s'agir, par exemple, d'un devoir de vérification qui incombe à l'auteur du document ou encore de l'existence de dispositions légales comme les art. 662a ss CO ou 958 ss CO, qui définissent le contenu du document en question (ATF 132 IV 12 consid. 8.1 et 129 IV 130 consid. 2.1). En revanche, le simple fait que l'expérience montre que certains écrits jouissent d'une crédibilité particulière ne suffit pas, même si dans la pratique des affaires, il est admis que l'on se fie à de tels documents. La limite entre le mensonge écrit et le faux intellectuel dans les certificats doit être fixée de cas en cas en fonction des circonstances concrètes de l'espèce (ATF 126 IV 65 consid. 2a ; ATF 125 IV 273 consid. 3a ; arrêt du Tribunal fédéral 6B_589/2009 du 14 septembre 2009 consid. 2.1.1).</w:t>
      </w:r>
    </w:p>
    <w:p>
      <w:r>
        <w:rPr>
          <w:b/>
        </w:rPr>
        <w:t>E. 2.3</w:t>
      </w:r>
    </w:p>
    <w:p>
      <w:r>
        <w:t>La question de savoir si les documents protégés par l'art. 252 CP doivent nécessairement constituer des titres au sens de l'art. 110 al. 4 CP n'a à ce jour pas été tranchée (ATF 95 IV 68, consid. 1 ; M. DUPUIS / L. MOREILLON / C. PIGUET / S. BERGER / M. MAZOU / V. RODIGARI (éds), Code pénal - Petit commentaire, 2e éd., Bâle 2017, n. 7 ad art. 252).</w:t>
      </w:r>
    </w:p>
    <w:p>
      <w:r>
        <w:rPr>
          <w:b/>
        </w:rPr>
        <w:t>E. 2.4</w:t>
      </w:r>
    </w:p>
    <w:p>
      <w:r>
        <w:t>Une fiche de salaire est un document fourni par l'employeur détaillant le salaire net versé au travailleur et la part socialisée du salaire au travers de contributions diverses (AVS/AI/APG, chômage, maternité, fonds de pension). Aucun caractère probatoire accru ne lui est conféré par une disposition légale particulière (ATF 118 IV 363, consid. 2b ; arrêt du Tribunal fédéral 6B_473/2016 du 22 juin 2017 consid. 4.2.1). Plusieurs arrêts ont en outre nié la valeur probante accrue de fiches de salaire au contenu inexact (ATF 118 IV 363, consid. 2b ; arrêt du Tribunal fédéral 6B/382/2011 du 26 septembre 2011 et les références). 2.5.1. En l'espèce, l'appelant a établi, à des dates indéterminées selon l'acte d'accusation lui-même, des fiches de salaire pour les mois de février à juin 2014 émanant de la société C______. L'instruction n'a pas permis de déterminer la période où il était employé de C______. L'appelant a varié, parlant d'un mois, puis d'un an au gré de ses auditions. L'actionnaire de C______ a évoqué la période de fin 2013 à début 2014. Aucun autre protagoniste n'a été entendu, susceptible de corroborer les déclarations de l'un ou de l'autre. Dans ces circonstances, en application du principe de la présomption d'innocence, il faut considérer que les fiches de salaire ont été établies par l'appelant alors qu'il était autorisé à le faire, soit pendant qu'il était employé par C______.</w:t>
      </w:r>
    </w:p>
    <w:p>
      <w:r>
        <w:t>- 7/10 - P/22602/2014 2.5.2. Dans la mesure où les fiches de salaire émanent bien de leur auteur apparent, C______, mais que leur contenu ne correspond pas à la réalité, le montant du salaire étant exagéré, leur établissement par l'appelant doit être analysé sous l'angle d'un faux intellectuel dans les certificats, à l'exclusion du faux matériel. Les fiches de salaire font état d'un salaire mensuel brut, ou, après retenue des charges sociales, d'un salaire net, versé par C______. Bien que les régies immobilières accordent généralement un crédit particulier à de tels documents dans la vérification de la solvabilité de locataires potentiels, cela ne saurait suffire, conformément à la jurisprudence citée ci-dessus (consid. 2.4.) pour accorder à de tels documents, émis par des particuliers, une valeur probatoire accrue nécessaire à l'admission d'un faux intellectuel dans les certificats. Par ailleurs, aucune disposition légale spécifique ne confère un crédit particulier aux fiches de salaire. La question peut ainsi rester ouverte de savoir si l'art. 252 CP exige l'établissement d'un titre au sens de l'art. 110 al. 4 CP, la condition de la crédibilité accrue nécessaire à l'admission d'un faux intellectuel n'étant en toute hypothèse pas remplie. En conséquence, les fiches de salaire litigieuses n'offrent pas une garantie suffisante, ni en vertu de la loi, ni en vertu des circonstances concrètes, pour faire l'objet d'un faux intellectuel dans les certificats. Dans la mesure où l'arrêt attaqué reconnaît l'appelant coupable de faux intellectuel dans les certificats, l'appel doit être admis et le jugement annulé sur ce point, ainsi que sur la peine prononcée.</w:t>
      </w:r>
    </w:p>
    <w:p>
      <w:r>
        <w:rPr>
          <w:b/>
        </w:rPr>
        <w:t>E. 3</w:t>
      </w:r>
    </w:p>
    <w:p>
      <w:r>
        <w:t>Vu cette issue, les frais de la procédure seront mis à la charge de l'Etat.</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disposition prescrit que l'indemnité, en matière pénale, est calculée selon le tarif horaire de CHF 200.- pour un chef d'étude (let. c), débours de l'étude inclus (cf. décision de la Cour des plaintes du Tribunal pénal fédéral BB.2013.127 du 4 décembre 2013 consid. 3/4.2-4.4). En cas d'assujettissement, l'équivalent de la TVA est versé en sus.</w:t>
      </w:r>
    </w:p>
    <w:p>
      <w:r>
        <w:t>- 8/10 - P/22602/2014</w:t>
      </w:r>
    </w:p>
    <w:p>
      <w:r>
        <w:t>4.2.2. Le nombre d'heures nécessaires pour assurer la défense d'office du prévenu est décisif pour fixer la rémunération de l'avocat (art. 16 al. 2 RAJ ;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(ATF 141 I 124 consid. 3.2 ; arrêts du Tribunal fédéral 6B_986/2015 du 23 août 2016 consid. 5.2 et la référence citée et 6B_675/2015 précité consid. 3.1 ; décision du Tribunal pénal fédéral BB.2015.85 du 12 avril 2016 consid. 3.2.3). 4.2.3. L'activité consacrée aux conférences, audiences et autres actes de la procédure est forfaitairement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4.2.4.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 BB.2013.127 du 4 décembre 2013 consid. 4.2).</w:t>
      </w:r>
    </w:p>
    <w:p>
      <w:r>
        <w:rPr>
          <w:b/>
        </w:rPr>
        <w:t>E. 4.3</w:t>
      </w:r>
    </w:p>
    <w:p>
      <w:r>
        <w:t>En l'occurrence, considéré dans sa globalité, l'état de frais déposé par le défenseur d'office est conforme aux principes susmentionnés, à l'exception du temps</w:t>
      </w:r>
    </w:p>
    <w:p>
      <w:r>
        <w:t>- 9/10 - P/22602/2014 consacré à la rédaction de la déclaration d'appel lequel est compris dans le forfait pour l'activité diverse.</w:t>
      </w:r>
    </w:p>
    <w:p>
      <w:r>
        <w:t>Partant, l'indemnité du défenseur d'office sera arrêtée à CHF 2'894.40, correspondant à onze heures et dix minutes d'activité au tarif de CHF 200.-/heure (CHF 2233.35) plus la majoration forfaitaire usuelle de 20% (CHF 446.65) et la TVA, au taux de 8% (CHF 214.40), en application de la pratique transitoire du Pouvoir judiciaire. * * * * *</w:t>
      </w:r>
    </w:p>
    <w:p>
      <w:r>
        <w:t>- 10/10 - P/22602/2014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