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AARP/91/2020 vom 3. März 2020</w:t>
      </w:r>
    </w:p>
    <w:p>
      <w:r>
        <w:t>GE Cour de justice, 2020-03-03, FR</w:t>
      </w:r>
    </w:p>
    <w:p>
      <w:r>
        <w:rPr>
          <w:b/>
        </w:rPr>
        <w:t xml:space="preserve">Quelle: </w:t>
      </w:r>
      <w:r>
        <w:t>https://mcp.opencaselaw.ch/entscheid/ge_gerichte_AARP_91_2020</w:t>
      </w:r>
    </w:p>
    <w:p>
      <w:r>
        <w:t>FR: GE_GERICHTE AARP/91/2020 du 3 mars 2020</w:t>
      </w:r>
    </w:p>
    <w:p>
      <w:r>
        <w:t>IT: GE_GERICHTE AARP/91/2020 del 3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- 7/17 - P/10831/2019</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Il dispose à cet égard d'un large pouvoir dans l'appréciation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 la contrainte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w:t>
      </w:r>
    </w:p>
    <w:p>
      <w:r>
        <w:t>- 8/17 - P/10831/2019 même si elle n'a causé aucune douleur physique (ATF 134 IV 189 consid. 1.2 p. 191). Les voies de fait au sens de l'art. 285 CP doivent revêtir une certaine intensité. L'intensité de la violence doit être analysée selon les circonstances concrètes; peu importe dès lors que l'auteur emploie ses mains, ses pieds ou un objet (B. CORBOZ, Les infractions en droit suisse, 3ème éd. 2010, n. 10 s. ad art. 126). Le fait de provoquer une situation manifestement inconfortable pour la personne visée, à l'exemple d'un crachat, est toutefois suffisant (arrêt du Tribunal fédéral 6B_1191/2019 du 4 décembre 2019 consid. 3.1 et les références citées), de même que celui de se débattre, lorsque la lutte qu'il implique revêt une intensité excédant la simple bousculade (arrêts du Tribunal fédéral 6B_63/2014 du 5 février 2015 consid. 4.3 et 6P.129/2005 du 19 janvier 2006 consid. 7). En revanche, une simple tentative de voie de fait ne suffit pas à réaliser l'infraction (M. DUPUIS / L. MOREILLON / C. PIGUET / S. BERGER / M. MAZOU / V. RODIGARI (éds), Code pénal - Petit commentaire, 2e éd., Bâle 2017, n. 13 ad art. 285).</w:t>
      </w:r>
    </w:p>
    <w:p>
      <w:r>
        <w:rPr>
          <w:b/>
        </w:rPr>
        <w:t>E. 2.3</w:t>
      </w:r>
    </w:p>
    <w:p>
      <w:r>
        <w:t>L'art. 286 CP vise celui qui aura empêché une autorité, un membre d'une autorité ou un fonctionnaire d'accomplir un acte entrant dans ses fonctions. L'infraction se distingue de la précédente par le fait que l'auteur ne recourt ni à la violence ni à la menace (arrêt du Tribunal fédéral 6B_333/2011 du 27 octobre 2011 consid. 2.2.1).</w:t>
      </w:r>
    </w:p>
    <w:p>
      <w:r>
        <w:rPr>
          <w:b/>
        </w:rPr>
        <w:t>E. 2.4</w:t>
      </w:r>
    </w:p>
    <w:p>
      <w:r>
        <w:t>En l'espèce, l'appelant nie un quelconque geste de violence dans le cadre de son embarquement en vue de son renvoi en Algérie, affirmant qu'il lui a suffi de discuter avec le personnel de bord et de lui faire part de son refus de retourner dans son pays pour être débarqué. La réalité des faits semble à tout le moins différente. Selon les déclarations de trois des policiers ayant participé à l'opération, telles qu'elles ressortent de leur rapport ou leur audition par le MP, l'usage de la force a été nécessaire pour conduire l'appelant à la porte de l'avion, car il se débattait vigoureusement. I______ a précisé qu'il donnait des coups de pied et de tête, avait tenté de le mordre et faisait mine de cracher. Outre que le policier susmentionné, qui n'a pas déposé plainte, n'avait aucune raison de mentir, sa version a dans un premier temps été partiellement corroborée par l'appelant, qui a reconnu qu'en arrivant à la porte de l'avion, il s'était opposé verbalement et physiquement à son rapatriement. Le fait qu'il ait été entravé totalement, et non seulement partiellement, pour être transféré du fourgon à l'avion, tend également à confirmer que sa résistance n'a pas été que passive. Il n'est par ailleurs pas contesté que la griffure au flanc de I______ a été provoquée au cours de ce transfert, qu'elle ait été causée par les ongles de l'appelant, dont les mains étaient entravées à cette hauteur, ou un élément du mobilier, dans le feu de l'action. Or, si l'on ne peut certes l'imputer à un acte intentionnel de l'appelant, la griffure subie</w:t>
      </w:r>
    </w:p>
    <w:p>
      <w:r>
        <w:t>- 9/17 - P/10831/2019 accrédite néanmoins la thèse de la violence de l'opposition formée par l'appelant, ce d'autant que la blessure n'a été constatée qu'une fois le calme revenu et l'appelant ramené au fourgon. A cet égard, l'entravement de ce dernier, même complet, ne permet pas d'exclure l'existence de mouvements violents, assimilables à des coups, portés à l'encontre des policiers, le dispositif ayant un jeu suffisant pour lui permettre des mouvements d'une certaine ampleur. La prétendue faiblesse de l'appelant n'est pas non plus établie, puisqu'à teneur de son dossier médical, il s'était alimenté la veille de son départ et n'a entamé le jeûne du Ramadan que le lendemain. Il est enfin douteux que le personnel de bord se soit opposé à son embarquement sur simple requête de l'appelant, sans qu'interviennent des motifs de sécurité, liés notamment à son attitude. Au vu de ces éléments, la CPAR retiendra que la résistance de l'appelant à largement excédé le comportement passif réprimé par l'art. 286 CP et que la violence déployée a atteint à un degré suffisant pour retenir l'existence de voies de fait, justifiant l'application de l'art. 285 CP, dont il n'est pas contesté que les autres conditions sont réalisées. La culpabilité de l'appelant sera, partant, confirmée.</w:t>
      </w:r>
    </w:p>
    <w:p>
      <w:r>
        <w:rPr>
          <w:b/>
        </w:rPr>
        <w:t>E. 3.1</w:t>
      </w:r>
    </w:p>
    <w:p>
      <w:r>
        <w:t>L'infraction à l'art. 285 CP est passible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- 10/17 - P/10831/2019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w:t>
      </w:r>
    </w:p>
    <w:p>
      <w:r>
        <w:rPr>
          <w:b/>
        </w:rPr>
        <w:t>E. 3.3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w:t>
      </w:r>
    </w:p>
    <w:p>
      <w:r>
        <w:rPr>
          <w:b/>
        </w:rPr>
        <w:t>E. 3.4</w:t>
      </w:r>
    </w:p>
    <w:p>
      <w:r>
        <w:t>Le juge peut prononcer une peine privative de liberté à la place d'une peine pécuniaire si une peine privative de liberté paraît justifiée pour détourner l'auteur d'autres crimes ou délits (art. 41 al. 1 let. a) ou s'il y a lieu de craindre qu'une peine pécuniaire ne puisse pas être exécutée (let. b).</w:t>
      </w:r>
    </w:p>
    <w:p>
      <w:r>
        <w:rPr>
          <w:b/>
        </w:rPr>
        <w:t>E. 3.5</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3.5.2</w:t>
      </w:r>
    </w:p>
    <w:p>
      <w:r>
        <w:t>; voir aussi les décisions de la Cour des plaintes du Tribunal pénal fédéral BB.2016.34 du 21 octobre 2016 consid. 4.1 et 4.2 et BB.2015.85 du 12 avril 2016 consid. 3.5.2 et 3.5.3).</w:t>
      </w:r>
    </w:p>
    <w:p>
      <w:r>
        <w:rPr>
          <w:b/>
        </w:rPr>
        <w:t>E. 3.6</w:t>
      </w:r>
    </w:p>
    <w:p>
      <w:r>
        <w:t>Aux termes de l'art. 51 CP, le juge impute sur la peine la détention avant jugement subie par l'auteur dans le cadre de l'affaire qui vient d'être jugée ou d'une autre procédure. Un jour de détention correspond à un jour-amende.</w:t>
      </w:r>
    </w:p>
    <w:p>
      <w:r>
        <w:t>- 11/17 - P/10831/2019</w:t>
      </w:r>
    </w:p>
    <w:p>
      <w:r>
        <w:rPr>
          <w:b/>
        </w:rPr>
        <w:t>E. 3.7</w:t>
      </w:r>
    </w:p>
    <w:p>
      <w:r>
        <w:t>En l'occurrence, ainsi que l'a rappelé le premier juge, la faute de l'appelant est d'une importance certaine, puisque malgré l'expulsion prononcée, il persiste à s'opposer par la violence à son renvoi. Les motifs qu'il invoque sont inconsistants. En effet, quand bien même il n'envisagerait pas un retour dans son pays natal, rien ne justifie qu'il continue à séjourner en Suisse, où il n'a d'attaches ni familiales ni professionnelles. L'éventualité d'une opération à la cloison nasale apparaît quant à elle plus qu'hypothétique, sa nécessité n'étant étayée par aucun certificat médical et la version caviardée du jugement du Tribunal correctionnel produite ne permettant pas de confirmer son droit à l'indemnité supposée la financer. Sa collaboration à la procédure a été très moyenne. Le raisonnement suivi par le premier juge pour fixer une peine privative de liberté de 90 jours est donc exempt de critique. Depuis lors, l'appelant a à nouveau été condamné, pour des infractions en partie similaires, à des peines privatives de liberté de cinq mois par la CPAR en août 2019 et de 180 jours par le MP en novembre 2019. Il n'y a toutefois pas lieu de penser que, si elles avaient dû être jugées en même temps que les faits objets de la présente procédure, une peine complémentaire différente aurait été prononcée par le premier juge. Le jugement entrepris sera, partant, également confirmé sur ce point.</w:t>
      </w:r>
    </w:p>
    <w:p>
      <w:r>
        <w:rPr>
          <w:b/>
        </w:rPr>
        <w:t>E. 3.8</w:t>
      </w:r>
    </w:p>
    <w:p>
      <w:r>
        <w:t>Les conditions d'un sursis, au demeurant non plaidé, ne sont à l'évidence pas réalisées. Une révocation du sursis octroyé le 10 janvier 2018 s'opposerait à l'interdiction de la reformatio in pejus. La peine de trois mois de privation de liberté prononcée par le TP, confirmée par le présent arrêt, correspond à la détention avant jugement subie (du 20 mai au 19 août 2019) et sera imputée sur cette dernière, conformément à l'art. 51 CP. Il n'y a donc pas matière à indemnisation de l'appelant (art. 431 al. 1 et 2 CPP).</w:t>
      </w:r>
    </w:p>
    <w:p>
      <w:r>
        <w:rPr>
          <w:b/>
        </w:rPr>
        <w:t>E. 4.1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t>- 12/17 - P/10831/2019 Cette mesure prévue par la loi qui, par essence, s'ajoute à la peine proprement dite, fait partie intégrante de la sanction à prononcer (ATF 143 IV 168 consid. 3.2 = SJ 2017 I 433).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4.2</w:t>
      </w:r>
    </w:p>
    <w:p>
      <w:r>
        <w:t>Aux termes de l'art. 12a al. 1 de l'ordonnance relative au code pénal et au code pénal militaire du 19 septembre 2006 (O-CP-CPM ; RS - 311.01), en présence d'un concours d'expulsions, celles-ci sont fusionnées pour la durée de leur exécution simultanée.</w:t>
      </w:r>
    </w:p>
    <w:p>
      <w:r>
        <w:rPr>
          <w:b/>
        </w:rPr>
        <w:t>E. 4.3</w:t>
      </w:r>
    </w:p>
    <w:p>
      <w:r>
        <w:t>En l'espèce, l'appelant soutient que le prononcé de l'expulsion viole le principe de la proportionnalité, dans la mesure où une telle mesure est déjà en force et où elle serait en tout état inapplicable, ainsi que l'a constaté l'OCPM lui-même. Ce point de vue ne saurait être partagé au vu du texte clair de l'art. 12a al. 1 O-CP- CPM. Le prononcé, dans un jugement ultérieur, d'une mesure identique, conserve ainsi toute sa pertinence, pour autant que les conditions en soient réalisées. A cet égard, l'appelant apparait durablement installé dans la délinquance, ainsi qu'en témoigne sa détention quasi ininterrompue depuis son arrivée en Suisse. En l'absence d'une quelconque prise de conscience ou de modification de sa situation personnelle,</w:t>
      </w:r>
    </w:p>
    <w:p>
      <w:r>
        <w:t>- 13/17 - P/10831/2019 le pronostic quant à son comportement futur ne peut être que sombre. Sa présence en Suisse, d'une durée limitée, n'a jamais été autorisée. Il n'y a ni famille, ni attaches ni emploi et affirme d'ailleurs vouloir quitter le pays. A cela s'ajoute que rien n'indique une impossibilité définitive de renvoi. En l'absence d'un quelconque droit et intérêt à demeurer en Suisse, l'expulsion prononcée par le premier juge ne prête pas flanc à la critique et sera, partant, confirmée.</w:t>
      </w:r>
    </w:p>
    <w:p>
      <w:r>
        <w:rPr>
          <w:b/>
        </w:rPr>
        <w:t>E. 5</w:t>
      </w:r>
    </w:p>
    <w:p>
      <w:r>
        <w:t>L'appelant, qui succombe, supportera les frais de la procédure d'appel envers l'État (art. 428 CPP), comprenant un émolument de CHF 1'800.- (art. 428 CPP et 14 let. e du règlement fixant le tarif des frais en matière pénale du 22 décembre 2010 [RTFMP – RS/GE E 4 10.03]).</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110.- pour l'avocat stagiaire (let. a) et de CHF 200.- pour le chef d'étude (let. c), débours de l'étude inclus. En cas d'assujettissement, l'équivalent de la TVA est versé en sus.</w:t>
      </w:r>
    </w:p>
    <w:p>
      <w:r>
        <w:t>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rPr>
          <w:b/>
        </w:rPr>
        <w:t>E. 6.3</w:t>
      </w:r>
    </w:p>
    <w:p>
      <w:r>
        <w:t>La rémunération forfaitaire de la vacation aller/retour au et du Palais de justice est arrêtée à CHF 100.- pour les chefs d'étude et CHF 55.- pour les avocats-stagiaires, dite rémunération étant allouée d'office pour la juridiction d'appel pour les débats devant elle.</w:t>
      </w:r>
    </w:p>
    <w:p>
      <w:r>
        <w:rPr>
          <w:b/>
        </w:rPr>
        <w:t>E. 6.4</w:t>
      </w:r>
    </w:p>
    <w:p>
      <w:r>
        <w:t>L'activité consacrée aux conférences, audiences et autres actes de la procédure soit forfaitairement majorée de 20% jusqu'à 30 heures de travail décomptées depuis l'ouverture de la procédure, pour couvrir les démarches diverses, telles la rédaction de courriers ou notes, les entretiens téléphoniques et la lecture de communications,</w:t>
      </w:r>
    </w:p>
    <w:p>
      <w:r>
        <w:t>- 14/17 - P/10831/2019 pièces et décisions (arrêt du Tribunal fédéral 6B_838/2015 du 25 juillet 2016 consid.</w:t>
      </w:r>
    </w:p>
    <w:p>
      <w:r>
        <w:rPr>
          <w:b/>
        </w:rPr>
        <w:t>E. 6.5</w:t>
      </w:r>
    </w:p>
    <w:p>
      <w:r>
        <w:t>En l’occurrence, l’état de frais produit par le conseil de l’appelant paraît adéquat et conforme aux dispositions et principes qui précèdent, de sorte qu’il sera admis sans en reprendre le détail.</w:t>
      </w:r>
    </w:p>
    <w:p>
      <w:r>
        <w:t>L'indemnité sera ainsi arrêtée à CHF 2'971.45, correspondant à 10 heures 15 d'activité au tarif de CHF 200.-/heure (CHF 2'050.-), 20 minutes d'activité au tarif de CHF 110.-/heure (CHF 36.65), la majoration forfaitaire de 20 % (CHF 417.35), CHF 255.- pour les déplacements et l'équivalent de la TVA au taux de 7.7% (CHF 212.45). * * * * *</w:t>
      </w:r>
    </w:p>
    <w:p>
      <w:r>
        <w:t>- 15/17 - P/10831/2019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