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AARP/90/2016 vom 26. Januar 2016</w:t>
      </w:r>
    </w:p>
    <w:p>
      <w:r>
        <w:t>GE Cour de justice, 2016-01-26, FR</w:t>
      </w:r>
    </w:p>
    <w:p>
      <w:r>
        <w:rPr>
          <w:b/>
        </w:rPr>
        <w:t xml:space="preserve">Quelle: </w:t>
      </w:r>
      <w:r>
        <w:t>https://mcp.opencaselaw.ch/entscheid/ge_gerichte_AARP_90_2016</w:t>
      </w:r>
    </w:p>
    <w:p>
      <w:r>
        <w:t>FR: GE_GERICHTE AARP/90/2016 du 26 janvier 2016</w:t>
      </w:r>
    </w:p>
    <w:p>
      <w:r>
        <w:t>IT: GE_GERICHTE AARP/90/2016 del 26 gennaio 2016</w:t>
      </w:r>
    </w:p>
    <w:p>
      <w:pPr>
        <w:pStyle w:val="Heading2"/>
      </w:pPr>
      <w:r>
        <w:t>Erwägungen</w:t>
      </w:r>
    </w:p>
    <w:p>
      <w:r>
        <w:rPr>
          <w:b/>
        </w:rPr>
        <w:t>E. 4.1</w:t>
      </w:r>
    </w:p>
    <w:p>
      <w:r>
        <w:t>L'art. 3 CEDH prévoit que nul ne peut être soumis à la torture ni à des peines ou traitements inhumains ou dégradants. Sur le plan constitutionnel, l'art. 7 Cst. prescrit de son côté que la dignité humaine doit être respectée et protégée. À teneur de l'art. 10 al. 3 Cst., la torture et tout autre traitement ou peine cruels, inhumains ou dégradants sont interdits. La Constitution de la République et canton de Genève (Cst-GE - A 2 00) prévoit aussi que la torture et tout autre traitement ou peine cruels, inhumains ou dégradants sont interdits (art. 18 al. 2 Cst-GE) et que la dignité humaine est inviolable (art. 14 al. 1 Cst-GE). En matière de procédure pénale, l'art. 3 CPP pose également le principe du respect de la dignité, à l'instar de l'art. 7 Cst.</w:t>
      </w:r>
    </w:p>
    <w:p>
      <w:r>
        <w:t>Pour enfreindre l'art. 3 CEDH et 7 Cst., les conditions matérielles de détention doivent atteindre un niveau d'humiliation ou d'avilissement supérieur à ce qu'emporte habituellement la privation de liberté. Le Comité européen pour la prévention de la torture et des peines ou traitements inhumains ou dégradants, dans son commentaire relatif à la Recommandation Rec(2006)2 sur les Règles pénitentiaires européennes du Conseil de l'Europe, dont s'inspirent les autorités suisses, recommande que le détenu bénéficie d'une surface minimale de 4 m2. Pour atteindre le minimum de gravité requis, plusieurs éléments préjudiciables doivent être combinés.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ou encore l'absence de traitement adéquat pour les pathologies du détenu ainsi que la durée de la détention, étant précisé que les garanties conventionnelles en la matière ne sont pas plus étendues que les garanties constitutionnelles (ATF 140 I 125 consid. 3.3 p. 133, arrêt du Tribunal fédéral 1B_152/2015 du 29 septembre 2015 consid. 2.3 et les références citées). Le Tribunal fédéral a ainsi retenu que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 Ces</w:t>
      </w:r>
    </w:p>
    <w:p>
      <w:r>
        <w:t>- 21/28 - P/6473/2015 conditions de détention ne satisfont ainsi pas aux exigences de respect de la dignité humaine et de la vie privée" (ATF 140 I 125 consid. 3.6.3 p. 140). Il y a lieu de tenir compte des périodes durant lesquelles le détenu a disposé d'une surface individuelle nette supérieure à 4 m2 et qui sont suffisamment longues pour interrompre un délai indicatif de trois mois au-delà duquel les conditions de détention ne sont plus tolérables et sont contraires à la dignité humaine. L'évaluation doit se faire dans le cadre d'une appréciation globale qui tienne compte de toute la durée de la détention, de la durée précédant la période d'interruption et des autres conditions concrètes de détention (nombre journalier d'heures passées hors de la cellule, possibilité de travailler, visites, hygiène, installations sanitaires, régime alimentaire, éclairage, aération - arrêt du Tribunal fédéral 1B_152/2015 du 29 septembre 2015 consid. 2.7 et 1B_239/2015 du 29 septembre 2015 consid. 2.5.2.).</w:t>
      </w:r>
    </w:p>
    <w:p>
      <w:r>
        <w:rPr>
          <w:b/>
        </w:rPr>
        <w:t>E. 4.2</w:t>
      </w:r>
    </w:p>
    <w:p>
      <w:r>
        <w:t>En l'occurrence, les conditions de détention de l'appelant C______ sont restées dans les limites de l'acceptable, celui-ci n'ayant jamais été confiné dans un espace de moins de 4 m2, la surface par moments à dispositions de 3,99 m2 devant y être assimilée, sous réserve de 16 nuits où l'espace à disposition n'était que de 3,39 m2.</w:t>
      </w:r>
    </w:p>
    <w:p>
      <w:r>
        <w:t>Au demeurant, même s'il fallait retenir qu'il n'y a pas lieu d'assimiler 3,99 m2 à 4 m2, les standards minimaux auraient alors été violés durant 93 nuits, ce qui reste admissible au regard du délai indicatif de 90 jours, d'autant plus qu'il y a eu des interruptions significatives.</w:t>
      </w:r>
    </w:p>
    <w:p>
      <w:r>
        <w:t>L'appelant ne peut donc prétendre à un constat d'illicéité, ni encore moins à indemnisation de ce fait, que ce soit sous forme d'une réduction de peine ou d'une réparation en argent.</w:t>
      </w:r>
    </w:p>
    <w:p>
      <w:r>
        <w:rPr>
          <w:b/>
        </w:rPr>
        <w:t>E. 5.1</w:t>
      </w:r>
    </w:p>
    <w:p>
      <w:r>
        <w:t>Il ne se justifie pas de modifier les dispositions prises par le premier juge s'agissant des frais de la procédure de première instance, dès lors que celles-ci auraient été les mêmes si le Tribunal de police était parvenu à la même décision que la Cour, sous réserve de l'émolument complémentaire de jugement, lié à l'annonce des appels, lequel subira le même sort que les frais de la procédure de deuxième instance.</w:t>
      </w:r>
    </w:p>
    <w:p>
      <w:r>
        <w:rPr>
          <w:b/>
        </w:rPr>
        <w:t>E. 5.2</w:t>
      </w:r>
    </w:p>
    <w:p>
      <w:r>
        <w:t>L'appel n'est admis que dans une très faible mesure en ce qui concerne l'appelant A______, plus largement pour l'appelant C______. Aussi, l'émolument complémentaire de jugement de première instance par CHF 600.- et les frais de la procédure d'appel, comprenant un émolument d'arrêt de CHF 3'000.-, seront mis à la charge du premier à concurrence de 45% et du second pour 25%, le solde restant à celle de l'Etat.</w:t>
      </w:r>
    </w:p>
    <w:p>
      <w:r>
        <w:t>- 22/28 - P/6473/2015</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w:t>
      </w:r>
    </w:p>
    <w:p>
      <w:r>
        <w:t>- 23/28 - P/6473/2015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w:t>
      </w:r>
    </w:p>
    <w:p>
      <w:r>
        <w:t>- 24/28 - P/6473/2015 20%, estimant que le fait qu'une décision de taxation intervienne séparément pour l'activité antérieure à sa saisine n'a pas de pertinence, cette circonstance n'ayant aucune influence sur la quantité de travail effectué par l'avocat en deuxième instance.</w:t>
      </w:r>
    </w:p>
    <w:p>
      <w:r>
        <w:t>6.2.4. Cette majoration forfaitaire couvre donc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En particulier sont en principe inclus dans le forfait la rédaction de la déclaration d'appel, qui n'a pas à être motivée et peut donc prendre la forme d'une simple lettre (ordonnance de la Cour des plaintes du Tribunal pénal fédéral BB.2014.51 du 21 novembre 2014 consid. 2.1 ; décisions de la Cour des plaintes du Tribunal pénal fédéral BB.2013.165 du 24 janvier 2014 consid. 4.1.3 et BB.2013.127 du 4 décembre 2013 consid. 4.2) ou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(AARP/300/2015 du 16 juillet 2015).</w:t>
      </w:r>
    </w:p>
    <w:p>
      <w:r>
        <w:t>6.3.1. En l'occurrence, sont écartés des états de frais des deux défenseurs d'office le temps consacré à la rédaction de la déclaration d'appel, ainsi que les 15 minutes facturées pour la production d'une attestation de travail de l'appelant A______.</w:t>
      </w:r>
    </w:p>
    <w:p>
      <w:r>
        <w:t>Pour le surplus :</w:t>
      </w:r>
    </w:p>
    <w:p>
      <w:r>
        <w:t>- si la lecture du dossier au greffe, suivie d'une relecture à l'Etude, surprend, il reste que le temps facturé par Me B______ pour la préparation de l'audience est relativement modeste, ce qui s'explique sans doute en bonne partie par cette activité préalable ; il sera donc fait masse de ces trois postes et trois heures admises de ce chef d'où une indemnité totale de CHF 2'415,60 pour 10 heures et 10 minutes d'activité au taux horaire du chef d'étude (soit, au total, CHF 2'033,33), le forfait de 10%, l'activité consacrée à l'ensemble de la procédure dépassant les 30 heures (CHF 203,33) et la TVA au taux de 8% (CHF 178,93) ;</w:t>
      </w:r>
    </w:p>
    <w:p>
      <w:r>
        <w:t>- pour sa part, Me D______ a facturé un temps excessif au regard du volume du dossier, qu'il était censé bien connaître, pour l'avoir suivi durant l'instruction préliminaire puis plaidé devant le premier juge, et de la difficulté toute relative ; les 15 heures d'activité – trois visites à la prison et présence à l'audience non comprises – ne satisfont en tout cas pas aux exigences d'expéditivité et d'efficacité gouvernant la rémunération au titre de l'assistance juridique. Pour tenir compte des particularités du dossier de l'assisté de cet avocat (plus grand nombre d'infractions ; meilleure probabilité d'octroi du sursis partiel ; problématique, bien que théorique, des conditions de détention), il sera retenu que l'activité totale admissible en appel était</w:t>
      </w:r>
    </w:p>
    <w:p>
      <w:r>
        <w:t>- 25/28 - P/6473/2015 de 12 heures 10 minutes, soit deux heures de plus que celle admise pour son confrère, d'où une indemnité de CHF 3'063,60, forfait de 10% (CHF 303,33) et TVA (CHF 266,93) compris. * * * * *</w:t>
      </w:r>
    </w:p>
    <w:p>
      <w:r>
        <w:t>- 26/28 - P/6473/2015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