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AARP/8/2024 vom 14. Dezember 2023</w:t>
      </w:r>
    </w:p>
    <w:p>
      <w:r>
        <w:t>GE Cour de justice, 2023-12-14, FR</w:t>
      </w:r>
    </w:p>
    <w:p>
      <w:r>
        <w:rPr>
          <w:b/>
        </w:rPr>
        <w:t xml:space="preserve">Quelle: </w:t>
      </w:r>
      <w:r>
        <w:t>https://mcp.opencaselaw.ch/entscheid/ge_gerichte_AARP_8_2024</w:t>
      </w:r>
    </w:p>
    <w:p>
      <w:r>
        <w:t>FR: GE_GERICHTE AARP/8/2024 du 14 décembre 2023</w:t>
      </w:r>
    </w:p>
    <w:p>
      <w:r>
        <w:t>IT: GE_GERICHTE AARP/8/2024 del 14 dicembre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- 5/14 - P/23248/2019</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197 al. 5 CP punit quiconque consomme ou, pour sa propre consommation, fabrique, importe, prend en dépôt, acquiert, obtient par voie électronique ou d'une autre manière ou possède des objets ou représentations visés à l'art. 197 al. 1 CP, soit des écrits, enregistrements sonores ou visuels, images ou autres objets pornographiques ou des représentations pornographiques, ayant comme contenu des actes d'ordre sexuel avec des animaux, des actes de violence entre adultes ou des actes d'ordre sexuel non effectifs avec des mineurs. Si les objets ou représentations ont pour contenu des actes d'ordre sexuel effectifs avec des mineurs, la sanction est aggravée. 2.2.2. Le critère de distinction entre les alinéas 4 et 5 est le dessein de diffusion. Ainsi, les mêmes comportements tombent sous le coup de l'alinéa 5 CP (cas atténué) s'ils sont commis aux fins de consommation propre, ou de l'alinéa 4 CP dans les autres cas. En application du principe in dubio pro reo, il faudra retenir le cas atténué toutes les fois que le dessein de diffusion ne pourra être établi (A. MACALUSO / L. MOREILLON / N. QUELOZ [éds], Commentaire romand, Code pénal II, 2ème éd., Bâle 2017, n. 66 ad art. 197).</w:t>
      </w:r>
    </w:p>
    <w:p>
      <w:r>
        <w:t>- 6/14 - P/23248/2019 Le Message du Conseil fédéral concernant l'adoption de l'art. 197 al. 5 CP précise qu'il s'agissait de mettre en œuvre la convention du Conseil de l'Europe sur la protection des enfants contre l'exploitation et les abus sexuels [convention de Lanzarote] et de combler une lacune du droit pénal suisse qui ne punissait pas la consommation sans possession de pornographie dure, ni donc de pédopornographie. Le nouvel art. 197 al. 5 CP devait ainsi permettre de punir également les personnes qui visionnaient de la pornographie en ligne, sans télécharger de contenu (FF 2012, p. 7096 ss). 2.2.3. Pour que la représentation de mineurs nus soit considérée comme de la pornographie dure, il n'est pas nécessaire que leurs organes génitaux soient visibles. Ce qui est déterminant, c'est que cette représentation soit objectivement de nature à provoquer l'excitation sexuelle. Que l'enfant qui pose ait eu conscience ou non de la connotation sexuelle de son attitude est sans pertinence (ATF 131 IV 64 consid. 11.2, cité dans l'ACJP/131/2010 de la Chambre pénale de Genève du 17 mai 2010 consid. 3.3.2). 2.2.4. Selon l'art. 197 al. 4 et 5 CP, les évocations d’actes sexuels avec des animaux relèvent de la pornographie dure. Il s’agit d’actes entre un être humain et un animal impliquant une manipulation visible des organes sexuels ou de l’anus de l’un par l’autre (A. DONATSCH, Strafrecht III, Delikte gegen den Einzelnen, 9ème éd., Zurich 2008, p. 516). 2.2.5. Sur le plan subjectif, il est nécessaire que l'auteur agisse intentionnellement. L'intention doit notamment porter sur le caractère pornographique de l'objet ou de la représentation en question (arrêt du Tribunal fédéral 6B_1260/2017 du 23 mai 2018 consid. 2.1 ; ATF 99 IV 57, JdT 1974 IV 34). Le dol éventuel suffit (arrêt du Tribunal fédéral 6B_1260/2017 du 23 mai 2018 consid. 2.1 ; ATF 99 IV 57, JdT 1974 IV 34). L'art. 197 al. 5 CP nécessite également l'intention de l'auteur et il appartient au juge de déterminer quelles circonstances permettent de retenir l'intention. Il ne s'agit pas de qualifier de consommation intentionnelle tout contact avéré avec des représentations relevant de la pornographie dure. Pour la consommation via Internet notamment, le nombre d'images et de pages consultées, ainsi que la provenance des fichiers devraient être déterminants (FF 2012, p. 7097).</w:t>
      </w:r>
    </w:p>
    <w:p>
      <w:r>
        <w:rPr>
          <w:b/>
        </w:rPr>
        <w:t>E. 2.3</w:t>
      </w:r>
    </w:p>
    <w:p>
      <w:r>
        <w:t>Le prévenu conteste le caractère pornographique de la vidéo sur laquelle on le voit faire des gestes de va-et-vient avec le sexe de son neveu. Or, il a lui-même admis qu'il trouvait le fait qu'un si petit enfant ait une érection amusant. C'est donc bien dans ce contexte que le prévenu a effectué des gestes s'apparentant à de la masturbation. Leur caractère sexuel est incontestable et identifiable par tout un chacun, dans la mesure où le sexe de l'enfant est filmé en gros plan tout en étant manipulé pour stimuler l'érection. S'il n'est pas nié que le prévenu porte une grande affection à son neveu, celle-ci ne justifie en aucun cas un tel comportement et encore moins qu'il fasse l'objet d'une vidéo. Le prévenu, qui admet avoir des connaissances informatiques catastrophiques, s'est par la suite envoyé la vidéo à lui-même par l'intermédiaire de "Messenger", créant par la même occasion un risque de diffusion. Il n'a ainsi fait qu'accroître la possibilité qu'une tierce personne tombe en possession de cette vidéo et s'en serve à des fins d'excitation sexuelle. Enfin, il a décidé, en toute conscience, de conserver la vidéo, puisqu'il a admis l'avoir visionnée à une ou deux reprises. L'intention est dès lors réalisée. Partant, c'est à raison que le premier juge a reconnu l'appelant coupable de pornographie pour cette vidéo également. Le jugement entrepris sera dès lors confirmé sur ce point.</w:t>
      </w:r>
    </w:p>
    <w:p>
      <w:r>
        <w:rPr>
          <w:b/>
        </w:rPr>
        <w:t>E. 3</w:t>
      </w:r>
    </w:p>
    <w:p>
      <w:r>
        <w:t>3.1.1. L'auteur d'une infraction de pornographie (art. 197 al. 5 CP) est passible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- 8/14 - P/23248/2019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3.1.3. La peine pécuniaire ne peut excéder 180 jours-amende, le juge fixant leur nombre en fonction de la culpabilité de l'auteur (art. 34 al. 1 CP). Un jour-amende est de CHF 30.- au moins et de CHF 3'000.- au plus (al. 2).</w:t>
      </w:r>
    </w:p>
    <w:p>
      <w:r>
        <w:rPr>
          <w:b/>
        </w:rPr>
        <w:t>E. 3.2</w:t>
      </w:r>
    </w:p>
    <w:p>
      <w:r>
        <w:t>La faute du prévenu n'est pas négligeable. Il a agi par légèreté et manque de respect pour l’ordre juridique suisse. Il s'en est pris à un bien juridique fondamental, soit l'intégrité sexuelle des plus jeunes enfants. Il s'agit cependant d'un acte ponctuel commis par désinvolture plus que par méchanceté ou dans le but de nuire. Le prévenu persiste à contester le caractère pornographique de la vidéo avec son neveu et de blâmer son ami pour l'envoi de la vidéo zoophile, sans aucune remise en question de son propre comportement. Il n'y a ainsi aucune prise de conscience. Il a un antécédent judiciaire, toutefois non spécifique. Sa responsabilité pénale est entière. Aucune circonstance atténuante n'est réalisée, ni plaidée. Sa situation personnelle ne justifie en aucun cas ses actes. L'appelant ne conteste pas, à juste titre, au-delà de l'acquittement plaidé, la quotité de la peine pécuniaire de 40 jours-amende, qui sanctionne adéquatement les deux infractions de pornographie (art. 49 al. 1 CP) et sera, partant, confirmée. Il en ira de même du montant du jour-amende, fixé à CHF 90.- par le premier juge. La détention subie par le prévenu sera imputée sur sa peine. Le sursis prononcé est acquis à l'appelant (art. 42 al. 1 CP et art. 391 al. 2 CPP). Le délai d'épreuve, arrêté à deux ans, n'est pas critiquable.</w:t>
      </w:r>
    </w:p>
    <w:p>
      <w:r>
        <w:rPr>
          <w:b/>
        </w:rPr>
        <w:t>E. 4.1</w:t>
      </w:r>
    </w:p>
    <w:p>
      <w:r>
        <w:t>Selon l'art. 69 CP, le juge prononce la confiscation d'objets qui ont servi ou devaient servir à commettre une infraction ou qui sont le produit d'une infraction, si</w:t>
      </w:r>
    </w:p>
    <w:p>
      <w:r>
        <w:t>- 9/14 - P/23248/2019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 ATF 137 IV 249 consid. 4.5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w:t>
      </w:r>
    </w:p>
    <w:p>
      <w:r>
        <w:rPr>
          <w:b/>
        </w:rPr>
        <w:t>E. 4.2</w:t>
      </w:r>
    </w:p>
    <w:p>
      <w:r>
        <w:t>En l'espèce, il ressort du rapport de la BCI relatif à l'analyse du portable D______/1______ que la vidéo du neveu du prévenu a été sauvegardée de manière déportée dans le Cloud lié à l'application "Facebook Messenger". La vidéo s'est dès lors sauvegardée directement sur le Cloud lié au portable D______/1______ auquel le prévenu pouvait avoir accès dès que ce téléphone était connecté à internet. Le prévenu a de plus expliqué que s'il s'était envoyé cette vidéo depuis son ancien à son nouveau téléphone, c'était dans le cadre d'un transfert de données de l'un à l'autre. Il ne peut désormais soutenir qu'il n'a dès lors pas utilisé son portable D______/1______ pour visionner la vidéo qu'il s'est lui-même envoyée. Le portable D______/1______ ayant servi à commettre l'infraction, sa confiscation et sa destruction seront confirmées.</w:t>
      </w:r>
    </w:p>
    <w:p>
      <w:r>
        <w:rPr>
          <w:b/>
        </w:rPr>
        <w:t>E. 5</w:t>
      </w:r>
    </w:p>
    <w:p>
      <w:r>
        <w:t>L'appelant, qui succombe intégralement, supportera les frais de la procédure envers l'État (art. 428 CPP et art. 14 al. 1 let. e du règlement fixant le tarif des frais en matière pénale [RTFMP]), comprenant un émolument de décision de CHF 1’500.-.</w:t>
      </w:r>
    </w:p>
    <w:p>
      <w:r>
        <w:t>- 10/14 - P/23248/2019 Il n'y a pas lieu de revoir la répartition des frais de première instance. * * * * *</w:t>
      </w:r>
    </w:p>
    <w:p>
      <w:r>
        <w:t>- 11/14 - P/23248/2019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