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AARP/8/2012 vom 17. Januar 2012</w:t>
      </w:r>
    </w:p>
    <w:p>
      <w:r>
        <w:t>GE Cour de justice, 2012-01-17, FR</w:t>
      </w:r>
    </w:p>
    <w:p>
      <w:r>
        <w:rPr>
          <w:b/>
        </w:rPr>
        <w:t xml:space="preserve">Quelle: </w:t>
      </w:r>
      <w:r>
        <w:t>https://mcp.opencaselaw.ch/entscheid/ge_gerichte_AARP_8_2012</w:t>
      </w:r>
    </w:p>
    <w:p>
      <w:r>
        <w:t>FR: GE_GERICHTE AARP/8/2012 du 17 janvier 2012</w:t>
      </w:r>
    </w:p>
    <w:p>
      <w:r>
        <w:t>IT: GE_GERICHTE AARP/8/2012 del 17 gennaio 2012</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w:t>
      </w:r>
    </w:p>
    <w:p>
      <w:r>
        <w:rPr>
          <w:b/>
        </w:rPr>
        <w:t>E. 1.2</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t>La Chambre limite son examen aux violations décrites dans l'acte d'appel (art. 404 al. 1 CPP).</w:t>
      </w:r>
    </w:p>
    <w:p>
      <w:r>
        <w:rPr>
          <w:b/>
        </w:rPr>
        <w:t>E. 2</w:t>
      </w:r>
    </w:p>
    <w:p>
      <w:r>
        <w:t>2.1.1. L'art. 19 ch. 1 LStup, dans sa teneur jusqu'au 30 juin 2011, vise celui qui, sans droit, entrepose, transporte, importe, offre, distribue, vend, procure, cède, possède, détient, achète ou acquiert d’une autre manière des stupéfiants. Le cas est grave notamment lorsque l'auteur sait ou ne peut ignorer que l'infraction porte sur une quantité de stupéfiants qui peut mettre en danger la santé de nombreuses personnes (art. 19 ch. 2 let. a LStup). S'agissant de l'héroïne, la jurisprudence retient qu'il y a cas grave au sens de l'art. 19 ch. 2 let. a LStup lorsque le trafic porte sur 12 gr. de drogue pure (ATF 119 IV 180 ; arrêt du Tribunal fédéral 6B_908/2008 du 5 février 2009 consid. 4.1.; B. CORBOZ, Les infractions en droit suisse, 3e édition, Berne 2010, vol. II, n. 81 ad art. 19 LStup). Si l'auteur commet plusieurs actes distincts, les quantités qui en sont l'objet doivent être additionnées (ATF 112 IV 109 consid. 2b p. 113).</w:t>
      </w:r>
    </w:p>
    <w:p>
      <w:r>
        <w:t>- 5/12 -</w:t>
      </w:r>
    </w:p>
    <w:p>
      <w:r>
        <w:t>P/7132/2011 2.1.2. Le 1er juillet 2011 est entrée en vigueur la modification du 20 mars 2008 de la LStup (RO 2009 2623, 2011 2559, FF 2006 8141, 8211). L'ancien art. 19 ch. 2 let. a LStup est devenu l'art. 19 al. 2 let. a LStup qui stipule que l'auteur de l'infraction est puni d'une peine privative de liberté d'un an au moins, pouvant être cumulée avec une peine pécuniaire, s'il sait ou ne peut ignorer que l'infraction peut directement ou indirectement mettre en danger la santé de nombreuses personnes. L'ancien droit parlait de la quantité de stupéfiants, mais le nouveau droit ne la mentionne plus, motif pris que le danger que représente un stupéfiant ne dépend pas seulement de ce critère, mais aussi d'autres facteurs tels que le risque d'overdose, la forme d'application ou le mélange avec d'autres drogues (FF 2006 p. 8178). Il est donc clair que la notion de quantité, si elle n'est plus exprimée, ne disparaît pas pour autant. Pour apprécier le danger, on ne peut pas faire abstraction de la quantité en cause. Le législateur a voulu, dans le sens d'un durcissement, permettre de retenir aussi un cas aggravé lorsque le danger résulte de la remise à des consommateurs d'une drogue particulièrement pure ou d'un mélange particulièrement dangereux (B. CORBOZ, op. cit., n. 80 ad art. 19 LStup).</w:t>
      </w:r>
    </w:p>
    <w:p>
      <w:r>
        <w:rPr>
          <w:b/>
        </w:rPr>
        <w:t>E. 2.2</w:t>
      </w:r>
    </w:p>
    <w:p>
      <w:r>
        <w:t>En l'espèce, les faits reprochés à l'appelant ont été commis sous l'empire de l'ancien droit, c'est dès lors à juste titre que le Tribunal de police l'a appliqué, dans la mesure où le nouveau droit ne lui est pas plus favorable (art. 2 al. 2 CP a contrario).</w:t>
      </w:r>
    </w:p>
    <w:p>
      <w:r>
        <w:rPr>
          <w:b/>
        </w:rPr>
        <w:t>E. 2.3</w:t>
      </w:r>
    </w:p>
    <w:p>
      <w:r>
        <w:t>L'appelant a été reconnu coupable d'infraction grave à la LStup. Selon sa déclaration d'appel du 6 septembre 2011, l'appel porte exclusivement sur la peine infligée ainsi que sur la détermination du montant de l'émolument complémentaire. Dans ses écritures subséquentes, l'appelant fait valoir que le taux de pureté de l'héroïne saisie n'a pas été analysé et que la quantité de drogue pure se situerait loin du cas grave. La Chambre de céans peut se dispenser d'entrer en matière sur ce point, l'appelant n'ayant pas pris de conclusions contre le verdict de culpabilité dans sa déclaration d'appel, étant néanmoins souligné que ce verdict est conforme au droit. En effet, même avec un taux de pureté de la drogue de l'ordre de 10%, la quantité d'héroïne vendue - environ 200 g - constitue un cas grave.</w:t>
      </w:r>
    </w:p>
    <w:p>
      <w:r>
        <w:rPr>
          <w:b/>
        </w:rPr>
        <w:t>E. 3</w:t>
      </w:r>
    </w:p>
    <w:p>
      <w:r>
        <w:t>L'appelant conclut principalement à ce que le précédent sursis qui lui avait été octroyé ne soit pas révoqué et subsidiairement au prononcé d'une peine d'ensemble inférieure à 24 mois.</w:t>
      </w:r>
    </w:p>
    <w:p>
      <w:r>
        <w:rPr>
          <w:b/>
        </w:rPr>
        <w:t>E. 3.1</w:t>
      </w:r>
    </w:p>
    <w:p>
      <w:r>
        <w:t>Selon l'art. 47 du Code pénal suisse du 21 décembre 1937 (CP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w:t>
      </w:r>
    </w:p>
    <w:p>
      <w:r>
        <w:t>- 6/12 -</w:t>
      </w:r>
    </w:p>
    <w:p>
      <w:r>
        <w:t>P/7132/2011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Cette jurisprudence conserve toute sa valeur, de sorte que l'on peut continuer à s'y référer (arrêt du Tribunal fédéral 6B_992/2008 du 5 mars 2009 consid. 5.1).</w:t>
      </w:r>
    </w:p>
    <w:p>
      <w:r>
        <w:rPr>
          <w:b/>
        </w:rPr>
        <w:t>E. 3.2</w:t>
      </w:r>
    </w:p>
    <w:p>
      <w:r>
        <w:t>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 à la novelle) :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w:t>
      </w:r>
    </w:p>
    <w:p>
      <w:r>
        <w:t>- 7/12 -</w:t>
      </w:r>
    </w:p>
    <w:p>
      <w:r>
        <w:t>P/7132/2011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w:t>
      </w:r>
    </w:p>
    <w:p>
      <w:r>
        <w:rPr>
          <w:b/>
        </w:rPr>
        <w:t>E. 3.3</w:t>
      </w:r>
    </w:p>
    <w:p>
      <w:r>
        <w:t>Selon l'art. 42 al. 2 CP, lorsque l'auteur a été condamné, dans les cinq ans qui précèdent l'infraction, à une peine privative de liberté ferme ou avec sursis de six mois au moins ou à une peine pécuniaire de 180 jours-amende au moins, il ne peut y avoir de sursis à l'exécution de la peine qu'en cas de circonstances particulièrement favorables. En cas d'antécédents, le juge doit examiner si la crainte de récidive fondée sur l'infraction commise peut être compensée par les circonstances particulièrement favorables. La présomption d'un pronostic favorable (ou d'absence d'un pronostic défavorable), posée à l'art. 42 al. 1 CP, ne s'applique donc plus. L'octroi du sursis n'entrera en considération que si, malgré l'infraction commise, on peut raisonnablement supposer, à l'issue de l'appréciation de l'ensemble des facteurs déterminants, que le condamné s'amendera. Tel sera notamment le cas si l'infraction à juger n'a aucun rapport avec l'infraction antérieure ou que les conditions de vie du condamné se sont modifiées de manière particulièrement positive (ATF 134 IV 1 consid. 4.2.3 p. 7).</w:t>
      </w:r>
    </w:p>
    <w:p>
      <w:r>
        <w:t>3.4.1. D'après l'art. 46 al. 1 CP, lorsque le condamné commet, durant le délai d'épreuve, un crime ou un délit et qu'il y a dès lors lieu de prévoir qu'il commettra de nouvelles infractions, le juge révoque le sursis partiel ou le sursis. Il peut modifier le genre de la peine révoquée pour fixer avec la nouvelle peine une peine d'ensemble conformément à l'art. 49 CP. Il ne peut toutefois prononcer une peine privative de liberté ferme que si la peine d'ensemble atteint une durée de 6 mois au moins ou si les conditions prévues à l'art. 41 CP sont remplies (cf. art. 46 al. 1 CP). La commission d'un crime ou d'un délit durant le délai d'épreuve n'entraîne dès lors pas nécessairement une révocation du sursis. Celle-ci ne se justifie qu'en cas d'un pronostic défavorable, à savoir lorsque la nouvelle infraction laisse entrevoir une réduction sensible des perspectives de succès de la mise à l'épreuve (ATF 134 IV 140 consid. 4.2 et 4.3 p. 142 s.). Par analogie avec l'art. 42 al. 1 et 2 CP, le juge se fonde sur une appréciation globale des circonstances du cas d'espèce pour estimer le risque de récidive (ATF 134 IV 40 consid. 4.4 p. 143). En particulier, il doit prendre en considération l'effet dissuasif que la nouvelle peine peut exercer, si elle est exécutée (ATF 134 IV 140 consid. 4.5 p. 144). A l'inverse, lorsqu'un sursis antérieur est révoqué, l'exécution de la peine suspendue peut conduire à nier un pronostic défavorable et à assortir la nouvelle peine du sursis (ATF 134 IV 140 consid. 4.5 p. 144). L'existence d'un pronostic défavorable quant au comportement futur du condamné, bien qu'elle soit une condition aussi bien du refus du sursis à la nouvelle peine que de la révocation d'un sursis antérieur, ne peut faire l'objet d'un unique examen, dont le</w:t>
      </w:r>
    </w:p>
    <w:p>
      <w:r>
        <w:t>- 8/12 -</w:t>
      </w:r>
    </w:p>
    <w:p>
      <w:r>
        <w:t>P/7132/2011 résultat suffirait à sceller tant le sort de la décision sur le sursis à la nouvelle peine que celui de la décision sur la révocation du sursis antérieur. Le fait que le condamné devra exécuter l'une des peines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(arrêts du Tribunal fédéral 6B_855/2010 du 7 avril 2011 consid. 2.2 et 6B_163/2011 du 24 novembre 2011 consid. 3.3). 3.4.2. En cas de révocation du sursis, la modification du genre de peine est laissée à la libre appréciation du juge pour tenir compte de la modification des nécessités de punir. Dans ce contexte, la conversion d'une peine pécuniaire ou d'un travail d'intérêt général en une peine privative de liberté n'est envisageable qu'à titre d'ultima ratio du fait qu'une telle conversion implique une aggravation du genre de peine (M. NIGGLI / H. WIPRÄCHTIGER, Basler Kommentar Strafrecht I : art. 1-110 StGB, 2e éd., Bâle 2007, n. 30 ad. art. 46 CP; G. STRATENWERTH, Schweizerisches Strafrecht, AT II, Strafen und Massnahmen, 2e éd., Berne 2006, § 5 n. 96 p. 164; arrêt du Tribunal fédéral 6B_46/2011 du 27 septembre 2011 consid. 3.4 et les références citées). 3.5.1. En l'occurrence, la faute de l’appelant est lourde. Son activité délictueuse a eu pour objet une quantité importante d'héroïne puisqu'elle dépasse le seuil du cas grave même si le taux de pureté n'a pas été analysé. Il a agi au sein d'un trafic de stupéfiants organisé comme vendeur de rue pour le compte d'un grossiste. Ses mobiles sont égoïstes. N’étant pas lui-même toxicomane, il n'a été motivé que par l’appât d’un gain facile à obtenir au mépris de la santé des consommateurs. La précarité de sa situation personnelle et administrative ne saurait l'excuser. Sa faute est d’autant plus grave qu'il persiste à venir en Suisse pour s'adonner au trafic de stupéfiants. Aucune circonstance atténuante au sens de l’art. 48 CP n’est réalisée. L'appelant a collaboré à l'enquête mais on ne voit pas comment il aurait pu faire autrement vu qu'il a été interpellé en flagrant délit. Il a toutefois avoué des quantités supplémentaires et donné le numéro de téléphone de son fournisseur même s'il n'a pas voulu prendre contact lui-même avec ce dernier par peur de représailles. Ses antécédents sont mauvais. L’appelant a fait l’objet d'une condamnation par le passé pour des faits similaires et a récidivé durant le délai d’épreuve. Alors qu’il avait bénéficié d’un sursis le 16 avril 2011, il n’a pas hésité à reprendre son activité délictueuse, seulement deux semaines après sa condamnation, démontrant par là que la confiance des autorités pénales n'était pas de nature à le dissuader de récidiver. Contrairement à ce qu'il prétend, il n’a pas la volonté d’amender son comportement, de sorte qu’il est à craindre qu’il ne commette de nouvelles infractions à l’avenir, ce d'autant qu'il n'y a pas eu de modification significative dans sa situation personnelle. Le contrat de travail produit ne constitue pas une garantie suffisante de son départ pour l'Albanie ni de son engagement à respecter les règles et les lois en vigueur.</w:t>
      </w:r>
    </w:p>
    <w:p>
      <w:r>
        <w:t>- 9/12 -</w:t>
      </w:r>
    </w:p>
    <w:p>
      <w:r>
        <w:t>P/7132/2011 Son antécédent pour une infraction de même nature dénote une absence de prise de conscience de la gravité de ses actes et justifie, sous l’angle de la prévention spéciale, une peine privative de liberté ferme qui apparaît, seule, de nature à le dissuader de récidiver à l’avenir. Dans ces conditions, un pronostic défavorable doit être établi. 3.5.2. Se pose également la question de la révocation du sursis accordé le 16 avril 2011 à la peine pécuniaire de 180 jours-amende, à laquelle l'appelant avait été condamné. Le pronostic est défavorable, eu égard en particulier à la réitération d’actes délictueux similaires et à sa situation personnelle. L'appelant a en effet commis de nouvelles infractions graves à la LStup deux semaines après sa première condamnation. L'appelant ne pouvait ignorer que le sursis à la peine pécuniaire de 180 jours-amende qui venait de lui être accordé risquait d'être révoqué. Le refus du sursis à la nouvelle peine n'apparaît dès lors à ce stade pas suffisant pour le dissuader de récidiver, rien ne permettant de dire qu'il ne commettra pas de nouveaux délits à l'avenir. En application de l'art. 46 al. 1 et 3 CP, c'est donc à bon droit que le Tribunal de police a révoqué le sursis octroyé le 16 avril 2011. 3.5.3 Le premier juge a condamné l’appelant à une peine privative de liberté d’ensemble de 24 mois, comportant la révocation du sursis à la peine pécuniaire de 180 jours-amende. Toutefois, la Cour de céans estime que cette conversion, qui revient à péjorer la situation du condamné nonobstant l’entrée en force de la première condamnation, ne s’imposait pas dans le cas d'espèce vu les limites posées par la jurisprudence et la doctrine (cf. arrêt du Tribunal fédéral 6B_46/2011 du 27 septembre 2011 précité). Le jugement querellé sera donc annulé dans cette mesure et c'est une peine privative de liberté ferme de 15 mois qui sera prononcée, sous déduction de la détention subie avant jugement, cette sanction étant adéquate compte tenu des éléments susmentionnés.</w:t>
      </w:r>
    </w:p>
    <w:p>
      <w:r>
        <w:rPr>
          <w:b/>
        </w:rPr>
        <w:t>E. 4</w:t>
      </w:r>
    </w:p>
    <w:p>
      <w:r>
        <w:t>L'appelant conclut à ce que l'émolument complémentaire soit réduit à CHF 200.-.</w:t>
      </w:r>
    </w:p>
    <w:p>
      <w:r>
        <w:rPr>
          <w:b/>
        </w:rPr>
        <w:t>E. 4.1</w:t>
      </w:r>
    </w:p>
    <w:p>
      <w:r>
        <w:t>L'art 425 CPP dispose que l'autorité pénale peut accorder un sursis pour le paiement des frais de procédure. Elle peut réduire ou remettre les frais compte tenu de la situation de la personne astreinte à les payer.</w:t>
      </w:r>
    </w:p>
    <w:p>
      <w:r>
        <w:t>Selon l'art. 9 al. 2 RTFMP, dans les cas prévus par l'art. 82 al. 1 CPP, lorsque la motivation écrite du jugement est rendu nécessaire, l'émolument de jugement fixé est en principe triplé pour la ou les parties privées devant supporter les frais et qui demandent la motivation ou font recours; le dispositif du jugement notifié oralement réserve cet émolument complémentaire, qui peut être perçu séparément.</w:t>
      </w:r>
    </w:p>
    <w:p>
      <w:r>
        <w:rPr>
          <w:b/>
        </w:rPr>
        <w:t>E. 4.2</w:t>
      </w:r>
    </w:p>
    <w:p>
      <w:r>
        <w:t>En l'occurrence, l'appelant ne s'oppose pas au principe de l'émolument. Ni le Ministère public, ni le premier juge n'ont pris de conclusions à ce sujet. L'émolument complémentaire, suite à l'annonce d'appel entraînant la motivation du jugement, a été</w:t>
      </w:r>
    </w:p>
    <w:p>
      <w:r>
        <w:t>- 10/12 -</w:t>
      </w:r>
    </w:p>
    <w:p>
      <w:r>
        <w:t>P/7132/2011 fixé à CHF 600.-, en conformité avec le Règlement. Il n'a toutefois pas été mis à la charge de l'appelant mais au nom de "A______" dans le dispositif. Il s'agit manifestement d'une erreur de plume du Tribunal qu'il n'appartient pas à la Cour de rectifier. Dans ces circonstances, il n'y a pas lieu de modifier l'émolument et le jugement sera confirmé sur ce point.</w:t>
      </w:r>
    </w:p>
    <w:p>
      <w:r>
        <w:rPr>
          <w:b/>
        </w:rPr>
        <w:t>E. 5</w:t>
      </w:r>
    </w:p>
    <w:p>
      <w:r>
        <w:t>L'appelant, qui n'obtient que partiellement gain de cause, supportera les deux tiers des frais de la procédure envers l'Etat (art. 428 CPP).</w:t>
      </w:r>
    </w:p>
    <w:p>
      <w:r>
        <w:t>* * * * *</w:t>
      </w:r>
    </w:p>
    <w:p>
      <w:r>
        <w:t>- 11/12 -</w:t>
      </w:r>
    </w:p>
    <w:p>
      <w:r>
        <w:t>P/7132/2011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