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AARP/89/2025 vom 18. Dezember 2024</w:t>
      </w:r>
    </w:p>
    <w:p>
      <w:r>
        <w:t>GE Cour de justice, 2024-12-18, FR</w:t>
      </w:r>
    </w:p>
    <w:p>
      <w:r>
        <w:rPr>
          <w:b/>
        </w:rPr>
        <w:t xml:space="preserve">Quelle: </w:t>
      </w:r>
      <w:r>
        <w:t>https://mcp.opencaselaw.ch/entscheid/ge_gerichte_AARP_89_2025</w:t>
      </w:r>
    </w:p>
    <w:p>
      <w:r>
        <w:t>FR: GE_GERICHTE AARP/89/2025 du 18 décembre 2024</w:t>
      </w:r>
    </w:p>
    <w:p>
      <w:r>
        <w:t>IT: GE_GERICHTE AARP/89/2025 del 18 dicembre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peine menace de l'art. 139 ch. 1 CP est une peine privative de liberté de cinq ans au plus ou une peine pécuniaire. Celle de l'art. 119 al. 1 LEI est une peine privative de liberté de trois ans au plus ou une peine pécuniaire.</w:t>
      </w:r>
    </w:p>
    <w:p>
      <w:r>
        <w:t>- 7/10 - P/15105/2024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2.1.4.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L'art. 46 al. 2 CP dispose que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ne se justifie qu'en cas de pronostic défavorable, soit lorsque la nouvelle infraction laisse entrevoir une réduction sensible des perspectives de succès de la mise à l'épreuve. Le juge se fonde sur une appréciation globale des circonstances du cas pour estimer le risque de récidive. En particulier, il doit prendre en considération l'effet dissuasif de la nouvelle peine, si elle est exécutée. Il peut parvenir à la conclusion que l'exécution, cas échéant, de la nouvelle peine aura un effet dissuasif</w:t>
      </w:r>
    </w:p>
    <w:p>
      <w:r>
        <w:t>- 8/10 - P/15105/2024 suffisant, justifiant de renoncer à la révocation du sursis antérieur (ATF 134 IV 140 consid. 4.2 à 4.5).</w:t>
      </w:r>
    </w:p>
    <w:p>
      <w:r>
        <w:rPr>
          <w:b/>
        </w:rPr>
        <w:t>E. 2.2</w:t>
      </w:r>
    </w:p>
    <w:p>
      <w:r>
        <w:t>En l'espèce, la faute de l'appelant n'est pas faible. Si la période pénale est effectivement courte, le vol porte sur des biens de valeur non négligeable. L'appelant a agi par appât du gain ou par convenance personnelle s'agissant de l'infraction à la LEI. Sa situation personnelle, qui les explique peut-être en partie, ne justifie pas ses actes. Il y a concours d'infractions. Cela étant, sa collaboration est bonne et sa prise de conscience évidente. Il a entamé un suivi en détention et présenté des excuses qui apparaissent sincères. Il apparaît ainsi qu'une peine privative de liberté de 120 jours doit être arrêtée pour l'infraction de vol, peine qui sera augmentée de 60 jours (peine hypothétique de 90 jours) pour l'infraction à la LEI. Cette peine doit être ferme, ce qui n'est pas contesté. S'agissant de la révocation des sursis antérieurs, la Cour note que les 180 jours de détention avant jugement purgés au jour du jugement dans la présente procédure semblent avoir eu un important effet sur l'appelant. Il ne se trouve manifestement plus dans la même dynamique qu'au cours du premier semestre 2024. Sa sortie apparaît d'ores et déjà organisée, avec un suivi prévu, un emploi à disposition et un soutien de ses proches, en particulier de sa compagne. Dans ce contexte, il n'apparaît pas nécessaire, au vu de la nouvelle peine prononcée, de révoquer les deux sursis précédemment octroyés, cette non révocation étant cependant assortie d'un avertissement et d'une prolongation des délais d'épreuve de moitié chaque fois.</w:t>
      </w:r>
    </w:p>
    <w:p>
      <w:r>
        <w:rPr>
          <w:b/>
        </w:rPr>
        <w:t>E. 3</w:t>
      </w:r>
    </w:p>
    <w:p>
      <w:r>
        <w:t>Au vu de la peine prononcée, la libération immédiate de A______ est ordonnée (art. 231 CPP).</w:t>
      </w:r>
    </w:p>
    <w:p>
      <w:r>
        <w:rPr>
          <w:b/>
        </w:rPr>
        <w:t>E. 4</w:t>
      </w:r>
    </w:p>
    <w:p>
      <w:r>
        <w:t>L'appel ayant été admis, il ne sera pas perçu de frais (art. 428 CPP a contrario).</w:t>
      </w:r>
    </w:p>
    <w:p>
      <w:r>
        <w:t>Il n'y a en revanche pas lieu de modifier les frais de première instance, le verdict de culpabilité étant inchangé, sous réserve de l'émolument complémentaire de jugement qui ne sera pas mis à charge de l'appelant (art. 428 al. 3 CPP).</w:t>
      </w:r>
    </w:p>
    <w:p>
      <w:r>
        <w:rPr>
          <w:b/>
        </w:rPr>
        <w:t>E. 5</w:t>
      </w:r>
    </w:p>
    <w:p>
      <w:r>
        <w:t>Considéré globalement, l'état de frais produit par Me B______, défenseur d'office de A______, satisfait les exigences légales et jurisprudentielles régissant l'assistance judiciaire gratuite en matière pénale.</w:t>
      </w:r>
    </w:p>
    <w:p>
      <w:r>
        <w:t>Sa rémunération sera ainsi arrêtée à CHF 3'740.25 pour 13h55 d'activité au tarif de CHF 200.-/heure, plus une vacation à la Cour en CHF 100.-, plus la majoration forfaitaire de 20% et l'équivalent de la TVA au taux de 8.1% en CHF 280.25. * * * * *</w:t>
      </w:r>
    </w:p>
    <w:p>
      <w:r>
        <w:t>- 9/10 - P/15105/2024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