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AARP/89/2016 vom 2. März 2016</w:t>
      </w:r>
    </w:p>
    <w:p>
      <w:r>
        <w:t>GE Cour de justice, 2016-03-02, FR</w:t>
      </w:r>
    </w:p>
    <w:p>
      <w:r>
        <w:rPr>
          <w:b/>
        </w:rPr>
        <w:t xml:space="preserve">Quelle: </w:t>
      </w:r>
      <w:r>
        <w:t>https://mcp.opencaselaw.ch/entscheid/ge_gerichte_AARP_89_2016</w:t>
      </w:r>
    </w:p>
    <w:p>
      <w:r>
        <w:t>FR: GE_GERICHTE AARP/89/2016 du 2 mars 2016</w:t>
      </w:r>
    </w:p>
    <w:p>
      <w:r>
        <w:t>IT: GE_GERICHTE AARP/89/2016 del 2 marzo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- 6/16 - P/13088/2015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2.1.3.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6B_275/2014 du 5 novembre 2014 consid. 6.2). 2.2.1. L'art. 19 al. 1 LStup punit celui qui, sans droit, notamment, aliène ou prescrit des stupéfiants, en procure de toute autre manière à un tiers ou en met dans le commerce (let. c), possède, détient ou acquiert des stupéfiants ou s’en procure de toute autre manière (let. d), ou celui qui prend des mesures aux fins de commettre une des infractions visées aux lettres a à f (let. g). 2.2.2. 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w:t>
      </w:r>
    </w:p>
    <w:p>
      <w:r>
        <w:t>- 7/16 - P/13088/2015 d'autres facteurs tels le risque d'overdose, la forme d'application ou le mélange avec d'autres drogues (FF 2006 8178 ; FF 2001 3594 ; SJ 2010 II 145 p. 156). S'agissant de la quantité pour l'héroïne, cette dernière condition est objectivement remplie, selon la jurisprudence développée sous l'ancien droit, dès que l'infraction porte sur une quantité d'au moins 12 grammes de drogue pure (ATF 119 IV 180 ; arrêt du Tribunal fédéral 6B_908/2008 du 5 février 2009 consid. 4.1 ; B. CORBOZ, Les infractions en droit suisse, 3e éd., Berne 2010, vol. II, n. 81 p. 917). Si l'auteur commet plusieurs actes distincts, les quantités qui en sont l'objet doivent être additionnées (ATF 112 IV 109 consid. 2b p. 113). Selon la jurisprudence, lorsque la drogue n'est plus disponible pour une analyse, le taux de pureté peut être déterminé sur une base statistique en référence au degré de pureté habituel à l'époque du trafic (ATF 138 IV 100 consid. 3.5 p. 105 ; arrêt du Tribunal fédéral 6B_940/2014 du 16 septembre 2015 consid. 5.3.1 ; cf. également B. CORBOZ, op. cit., n. 86 ad art. 19 LStup).</w:t>
      </w:r>
    </w:p>
    <w:p>
      <w:r>
        <w:rPr>
          <w:b/>
        </w:rPr>
        <w:t>E. 2.3</w:t>
      </w:r>
    </w:p>
    <w:p>
      <w:r>
        <w:t>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Par violence, on entend ordinairement une action physique de l'auteur sur la personne du fonctionnaire. L'usage de la violence doit revêtir une certaine gravité ; une petite bousculade ne saurait suffire (B. CORBOZ, Les infractions en droit suisse,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Selon la deuxième variante de l'art. 285 ch. 1 CP,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(ATF 110 IV 91 consid. 2 p. 92 ; arrêt du Tribunal fédéral 6B_834/2008 du 20 janvier 2009 consid. 3.1). Dans ce cas, il n'est pas exigé que l'auteur empêche l'acte officiel (arrêts du Tribunal fédéral 6B_1009/2014 du 2 avril 2015 consid. 5.1.2 et 6B_257/2010 du 5 octobre</w:t>
      </w:r>
    </w:p>
    <w:p>
      <w:r>
        <w:t>- 8/16 - P/13088/2015 2010 consid. 5.1.2). La notion de voies de fait est la même que celle figurant à l'art. 126 CP. Les voies de fait au sens de l'art. 285 CP doivent toutefois revêtir une certaine intensité. De même que l'acte de violence, elles supposent un net déploiement de force (arrêt du Tribunal fédéral 6B_257/2010 du 5 octobre 2010 consid. 5.1.2 et les références citées). L'infraction à l'art. 285 CP est une infraction de résultat (B. CORBOZ, op. cit., n. 11 ad art. 285 CP). 2.4.1. En l'espèce, c'est à juste titre que le Tribunal de police a retenu que l'appelant avait vendu, la veille de son interpellation, quatre sachets d'héroïne. Les aveux initiaux de l'intéressé à la police sont crédibles, vu leur spontanéité et les détails fournis relativement au prix de vente, aux instructions téléphoniques reçues et à l'existence d'une cachette. A l'inverse, ses rétractations ultérieures ne sauraient être retenues, compte tenu de leurs variations et de leur invraisemblance. Alors qu'il est établi que l'appelant était déjà familier de la vente de drogue au détail, vu son antécédent spécifique, l'intéressé n'est pas crédible lorsqu'il soutient qu'il aurait dû être formé à la tâche, en accompagnant son fournisseur, dont l'identité a varié, sur place ou en assistant à des transactions. La réalisation de la circonstance aggravante de l'art. 19 al. 2 LStup n'est, en revanche, pas réalisée. Le rapport d'analyse révèle que le poids net de l'héroïne saisie sur l'appelant était de 26.2 grammes pour un taux de pureté de l'ordre de 20%. En l'absence d'éléments permettant d'établir la concentration et le poids effectif des autres minigrips vendus par l'appelant le matin et la veille de son interpellation, il se justifie de retenir que cette drogue était de qualité égale à celle analysée, même si ce taux de pureté paraît plus élevé que celui de l'héroïne généralement vendue au détail. Il faut aussi retenir, pour les mêmes motifs, que les sept sachets vendus contenaient chacun, tout au plus, 4.5 grammes, soit le poids maximum du contenu des sachets saisis. Partant, le trafic a porté sur 26.2 grammes et sept doses à 4.5 grammes chacune, soit un total net de 57.7 grammes, correspondant à 11.54 grammes d'héroïne pure, soit une quantité en deçà de la limite de 12 grammes retenue par la jurisprudence pour qualifier le cas de grave. En conséquence, l'appelant sera reconnu coupable d'infraction à l'art. 19 al. 1 LStup. 2.4.2. L'inspecteur G______, dont les déclarations corroborent le rapport d'arrestation établi par l'un de ses collègues, a confirmé que les policiers s'étaient présentés comme tels à l'appelant par le port de brassards et l'annonce du mot "police", lequel est effectivement internationalement reconnu. Il est partant établi que l'appelant ne pouvait ignorer que les hommes qui voulaient l'appréhender le 6 juillet 2015 étaient des membres des forces de l'ordre, et ce bien avant son menottage.</w:t>
      </w:r>
    </w:p>
    <w:p>
      <w:r>
        <w:t>- 9/16 - P/13088/2015 Rien ne permet de douter de la résistance de l'appelant à son interpellation. Comme l'a relevé le premier juge, l'intéressé a admis à la police s'être débattu lors de son interpellation, pour ensuite se rétracter. Indubitablement, ses déclarations sont contradictoires. L'on ne parvient pas à comprendre pourquoi l'appelant, qui a maintenu avoir été effrayé, ne se serait pas opposé à son appréhension s'il pensait sincèrement être agressé par des quidams. Le fait que son interpellation ait nécessité l'intervention de quatre ou cinq policiers, comme il l'a lui-même affirmé, conforte la version de la police. Le témoin G______ a confirmé avoir été projeté par l'appelant contre une boîte-aux-lettres, alors qu'il tentait de l'appréhender et avoir été blessé au coude. Rien ne permet de douter de sa version. La culpabilité de l'appelant sur ce point sera confirmée.</w:t>
      </w:r>
    </w:p>
    <w:p>
      <w:r>
        <w:rPr>
          <w:b/>
        </w:rPr>
        <w:t>E. 3.1</w:t>
      </w:r>
    </w:p>
    <w:p>
      <w:r>
        <w:t>Les infractions aux art. 19 al. 1 LStup et 285 CP sont punies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w:t>
      </w:r>
    </w:p>
    <w:p>
      <w:r>
        <w:t>- 10/16 - P/13088/2015 au point de constituer un abus du pouvoir d'appréciation (ATF 136 IV 55 consid. 5.6 p. 61 ; arrêt du Tribunal fédéral 6B_1249/2014 du 7 septembre 2015 consid. 1.2).</w:t>
      </w:r>
    </w:p>
    <w:p>
      <w:r>
        <w:rPr>
          <w:b/>
        </w:rPr>
        <w:t>E. 3.3</w:t>
      </w:r>
    </w:p>
    <w:p>
      <w:r>
        <w:t>En l'espèce, la faute de l'appelant est moyennement grave. Il a vendu de l'héroïne, soit une drogue dite dure, dont ses effets sur la santé de ses consommateurs sont dévastateurs. La quantité trafiquée n'est pas négligeable, car proche de la limite du cas grave. Il a, en outre, résisté à son interpellation par la police et ainsi blessé l'un de ses membres. Ses mobiles sont égoïstes, l'appelant, qui n'est lui-même pas toxicomane, étant mu uniquement par l'appât du gain. Selon ses dires, il avait un métier avant de venir en Suisse, ce qui rend son comportement d'autant plus incompréhensible. Sa collaboration à la procédure doit être qualifiée de médiocre. Si, dans un premier temps, l'intéressé a pleinement collaboré, il s'est ensuite rétracté pour s'enfermer dans des explications invraisemblables. Sa prise de conscience ne peut dès lors qu'être qualifiée de mauvaise. Il y a concours d'infractions (art. 49 al. 1 CP). L'appelant a un antécédent spécifique et très récent, pour avoir été condamné le 24 juin 2015. Il a récidivé moins d'un mois plus tard, soit durant le délai d'épreuve. Bien que résidant en H______, l'appelant est venu à Genève pour commettre des infractions. Le pronostic est ainsi clairement défavorable, de sorte que seul le prononcé d'une peine privative de liberté ferme est envisageable, ce qui n'est pas contesté, étant précisé que la précédente peine pécuniaire prononcée n'a pas eu d'effet dissuasif. Au vu de l'abandon de la circonstance aggravante de l'art. 19 al. 2 LStup, il convient de réduire la peine infligée par le premier juge. Une peine privative de liberté de dix mois tient adéquatement compte de l'ensemble des éléments qui précèdent. Le jugement entrepris sera réformé en conséquence.</w:t>
      </w:r>
    </w:p>
    <w:p>
      <w:r>
        <w:rPr>
          <w:b/>
        </w:rPr>
        <w:t>E. 4</w:t>
      </w:r>
    </w:p>
    <w:p>
      <w:r>
        <w:t>Vu l'issue de la procédure d'appel, l'appelant sera débouté de ses conclusions en indemnisation (art. 429 CPP).</w:t>
      </w:r>
    </w:p>
    <w:p>
      <w:r>
        <w:rPr>
          <w:b/>
        </w:rPr>
        <w:t>E. 5</w:t>
      </w:r>
    </w:p>
    <w:p>
      <w:r>
        <w:t>L'appelant obtenant une réduction de sa peine, il supportera la moitié des frais de la procédure envers l'Etat (art. 428 CPP), lesquels comprennent, dans leur intégralité, un émolument de jugement de CHF 1'500.- (art. 428 al. 1 CPP et art. 14 al. 1 let. e du Règlement fixant le tarif des frais en matière pénale [RTFMP - RS E 4 10.03]). Le solde de ces frais sera laissé à la charge de l'Etat.</w:t>
      </w:r>
    </w:p>
    <w:p>
      <w:r>
        <w:t>- 11/16 - P/13088/2015</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125.- pour un collaborateur, débours de l'étude inclus.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A teneur de la jurisprudence, est décisif pour fixer la rémunération de l'avocat, le nombre d'heures nécessaires pour assurer la défense d'office du prévenu (arrêt du Tribunal fédéral 2C_509/2007 du 19 novembre 2007 consid. 4).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(AARP/326/2015 du 16 juillet 2015 ; AARP/193/2015 du 27 avril 2015 ; AARP/55/2015 du 25 mars 2015 ; AARP/265/2014 du 6 juin 2014 ; AARP/501/2013 du 28 octobre 2013) de même que d'autres documents ne nécessitant pas ou peu de</w:t>
      </w:r>
    </w:p>
    <w:p>
      <w:r>
        <w:t>- 12/16 - P/13088/2015 motivation ou autre investissement particulier en termes de travail juridique, telles l'opposition à ordonnance pénale (AARP/161/2014 du 28 mars 2014), l'annonce d'appel (AARP/304/2015 du 16 juillet 2015), la déclaration d'appel (ordonnance de la Cour des plaintes du Tribunal pénal fédéral BB.2014.51 du 21 novembre 2014 consid. 2.1 ; décisions de la Cour des plaintes du Tribunal pénal fédéral BB.2013.165 du 24 janvier 2014 consid. 4.1.3 et BB.2013.127 du 4 décembre 2013 consid. 4.2 ) ou d'appel joint (AARP/133/2015 du 3 mars 2015), la demande de non-entrée en matière sur un appel (AARP/421/2014 du 30 septembre 2014) pour autant qu'elle n'ait pas nécessité de développements importants, de brèves observations ou déterminations, notamment au Tribunal des mesures de contraintes ou sur la prolongation de la détention (AARP/326/2015 du 16 juillet 2015 ; AARP/281/2015 du 25 juin 2015 ; AARP/277/2014 du 17 juin 2014 ; AARP/131/2014 du 25 mars 2014), de la requête d'exécution anticipée de la peine (décision de la Cour des plaintes du Tribunal pénal fédéral BB.2013.22 du 31 octobre 2013 consid. 5.2.3) ou encore d'une demande de levée de l'ordre d'écrou (AARP/94/2015 du 17 février 2015 ; AARP/12/2015 du 13 janvier 2015).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(AARP/295/2015 du 12 juillet 2015 consid. 8.1.4.1 et 8.3.1.1 ; AARP/209/2015 du 4 mai 2015 consid. 13.4 refusant la couverture de la rédaction de conclusions civiles en appel reprenant celles déposées en première instance). 6.2.4.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pour les avocats et une heure pour les avocats stagiaires, ce qui comprend le temps de déplacement. 6.2.5. Le temps d'attente entre l'heure de la convocation et le début de l'audience est indemnisé par l'assistance juridique. 6.2.6. L'avocat d'office a droit au remboursement intégral de ses débours (arrêt du Tribunal fédéral 6B_810/2010 du 25 mai 2011 consid. 2 et les références citées). 6.2.7.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w:t>
      </w:r>
    </w:p>
    <w:p>
      <w:r>
        <w:t>- 13/16 - P/13088/2015 des diligences de l'avocat, dans la mesure où elle ne fait pas appel à ses compétences intellectuelles relevant de l'exécution du mandat stricto sensu (arrêt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 6.2.8. Selon l'art. 17 RAJ, l'état de frais doit détailler, par rubrique, les activités donnant lieu à indemnisation, avec indication du temps consacré, et les justificatifs doivent être joints.</w:t>
      </w:r>
    </w:p>
    <w:p>
      <w:r>
        <w:rPr>
          <w:b/>
        </w:rPr>
        <w:t>E. 6.3</w:t>
      </w:r>
    </w:p>
    <w:p>
      <w:r>
        <w:t>En l'espèce, il convient de retrancher de l'état de frais du défenseur d'office de l'appelant le temps consacré à la rédaction de l'annonce et de la déclaration d'appel. Ces écritures, qui n'ont pas à être motivées, constituent des prestations incluses dans la majoration forfaitaire pour l'activité diverse. Pour le surplus, l’activité exercée pour la défense d'office de l'appelant est en adéquation avec la nature, l'importance et la difficulté de la cause, étant précisé qu'il n'y a pas lieu à couverture de la TVA, à défaut d’assujettissement du conseil en question, vu son statut de collaboratrice. Du fait d'une erreur de plume, la taxation prononcée dans le dispositif de l'arrêt notifié par anticipation ne comprend pas l'intégralité de la durée de l'audience d'appel. Dite erreur sera rectifiée d'office (art. 83 al. 1 CPP). En conclusion, l'indemnité sera arrêtée à CHF 1'082.50, correspondant à cinq heures et 55 minutes d'activité au tarif de CHF 125.-/heure plus la majoration forfaitaire de 20% par CHF 137.50, le remboursement des débours et le forfait de déplacement de CHF 35.-. * * * * *</w:t>
      </w:r>
    </w:p>
    <w:p>
      <w:r>
        <w:t>- 14/16 - P/13088/2015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