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AARP/87/2017 vom 16. März 2017</w:t>
      </w:r>
    </w:p>
    <w:p>
      <w:r>
        <w:t>GE Cour de justice, 2017-03-16, FR</w:t>
      </w:r>
    </w:p>
    <w:p>
      <w:r>
        <w:rPr>
          <w:b/>
        </w:rPr>
        <w:t xml:space="preserve">Quelle: </w:t>
      </w:r>
      <w:r>
        <w:t>https://mcp.opencaselaw.ch/entscheid/ge_gerichte_AARP_87_2017</w:t>
      </w:r>
    </w:p>
    <w:p>
      <w:r>
        <w:t>FR: GE_GERICHTE AARP/87/2017 du 16 mars 2017</w:t>
      </w:r>
    </w:p>
    <w:p>
      <w:r>
        <w:t>IT: GE_GERICHTE AARP/87/2017 del 16 marzo 2017</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ATF 107 IV 40 consid. 5c p. 42 ; ATF 103 IV 65 consid. 2c p. 70).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w:t>
      </w:r>
    </w:p>
    <w:p>
      <w:r>
        <w:t>- 7/13 - P/16524/2014</w:t>
      </w:r>
    </w:p>
    <w:p>
      <w:r>
        <w:t>La distinction entre lésions corporelles et voies de fait peut s'avérer délicate, notamment lorsque l'atteinte s'est limitée à des contusions, des meurtrissures, des écorchures, des griffures ou des contusions.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l'oeil et une meurtrissure de la lèvre inférieure et chez l'autre une meurtrissure de la mâchoire inférieure, une contusion des côtes, des écorchures de l'avant-bras et de la main (ATF 134 IV 189 consid. 1.3 p. 191 s. ; 119 IV 25 consid. 2a p. 26/27). La question peut parfois être résolue de manière satisfaisante par l'application de l'art. 123 ch. 1 al. 2 CP, qui permet une atténuation libre de la peine dans les cas de peu de gravité (ATF 119 IV 25 consid. 2a p. 27).</w:t>
      </w:r>
    </w:p>
    <w:p>
      <w:r>
        <w:t>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p. 26 ; 107 IV 40 consid. 5c p. 42 ; 103 IV 65 consid. II 2c p. 70 et les références citées ; arrêt du Tribunal fédéral 6S.474/2005 du 27 février 2006 consid. 7.1.).</w:t>
      </w:r>
    </w:p>
    <w:p>
      <w:r>
        <w:t>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p. 191-192 ; ATF 119 IV 25 consid. 2a p. 27 et les arrêts cités).</w:t>
      </w:r>
    </w:p>
    <w:p>
      <w:r>
        <w:rPr>
          <w:b/>
        </w:rPr>
        <w:t>E. 2.2</w:t>
      </w:r>
    </w:p>
    <w:p>
      <w:r>
        <w:t>En l'espèce, il est avéré que l'appelant a assené un coup de tête à la victime, casque contre casque, avec une certaine force et de l'élan, selon l'agent municipal qui</w:t>
      </w:r>
    </w:p>
    <w:p>
      <w:r>
        <w:t>- 8/13 - P/16524/2014 a assisté à la scène. Ce témoin extérieur, sans lien avec l'une ou l'autre des parties, a ajouté que la victime avait vacillé, ce qui est aussi un indice de l'intensité du coup.</w:t>
      </w:r>
    </w:p>
    <w:p>
      <w:r>
        <w:t>Après l'agression, l'intimé s'est plaint de douleurs à la nuque et au dos et a été hospitalisé quatre jours, afin de subir différents examens. Un arrêt de travail de plus d'un mois s'en est suivi.</w:t>
      </w:r>
    </w:p>
    <w:p>
      <w:r>
        <w:t>Le dossier n'établit pas que la discopathie de la colonne cervicale mise en évidence par le scanner aurait été provoquée par l'accident, s'agissant davantage d'un processus dégénératif relevant plutôt de la maladie. Il n'en demeure pas moins qu'un coup porté avec une certaine force à la tête d'une personne coiffée d'un casque agit sur la nuque et est susceptible d'aggraver, à tout le moins de manière transitoire, une pathologie cervicale préexistante. Par ailleurs, nonobstant le libellé maladroit de l'acte d'accusation (cf. art. 325 CPP), l'existence d'une lésion de la colonne n'est pas nécessaire pour retenir la qualification juridique de lésions corporelles simples.</w:t>
      </w:r>
    </w:p>
    <w:p>
      <w:r>
        <w:t>Au regard des considérations qui précèdent, la qualification juridique de lésions corporelles simples doit être confirmée, le coup donné ayant provoqué un trouble à la santé et des douleurs qui vont au-delà de la simple atteinte passagère au bien-être de la victime. Ils conduisent à écarter les voies de fait, de même que le cas de peu de gravité de l'art. 123 ch. 1 CP.</w:t>
      </w:r>
    </w:p>
    <w:p>
      <w:r>
        <w:t>Eu égard à la durée de l'arrêt de travail, établi par pièces, cette conclusion s'impose même si la victime a pu exagérer ses plaintes.</w:t>
      </w:r>
    </w:p>
    <w:p>
      <w:r>
        <w:t>Le verdict de culpabilité sera entièrement confirmé.</w:t>
      </w:r>
    </w:p>
    <w:p>
      <w:r>
        <w:rPr>
          <w:b/>
        </w:rPr>
        <w:t>E. 3.1</w:t>
      </w:r>
    </w:p>
    <w:p>
      <w:r>
        <w:t>La nature de la peine n'est pas contestée et le sursis est acquis à l'appelant.</w:t>
      </w:r>
    </w:p>
    <w:p>
      <w:r>
        <w:t>L'injure, passible d'une peine pécuniaire de 90 jours-amende au plus, entre en concours avec l'infraction de lésions corporelles simples, qui peut être sanctionnée d'une peine pécuniaire de 360 jours-amende au plus (art. 49 al. 1 CP).</w:t>
      </w:r>
    </w:p>
    <w:p>
      <w:r>
        <w:rPr>
          <w:b/>
        </w:rPr>
        <w:t>E. 3.2</w:t>
      </w:r>
    </w:p>
    <w:p>
      <w:r>
        <w:t>La faute de l'appelant n'est pas anodine. Il s'en est pris à l'intégrité physique et à l'honneur de la partie plaignante, qui a été prise en charge par une ambulance et acheminée à l'hôpital.</w:t>
      </w:r>
    </w:p>
    <w:p>
      <w:r>
        <w:t>- 9/13 - P/16524/2014</w:t>
      </w:r>
    </w:p>
    <w:p>
      <w:r>
        <w:t>A décharge, il sera tenu compte du fait que l'appelant a sincèrement eu peur pour son intégrité physique et surréagi, les insultes proférées pouvant s'expliquer par le contexte. La réaction n'est en revanche pas compréhensible s'agissant du coup de tête, asséné alors que le plaignant était encore assis sur son scooter.</w:t>
      </w:r>
    </w:p>
    <w:p>
      <w:r>
        <w:t>L'appelant a bien collaboré et reconnu l'ensemble de ses actes, sans tergiversations. Il regrette son geste, même s'il demeure persuadé que la victime a simulé ses lésions.</w:t>
      </w:r>
    </w:p>
    <w:p>
      <w:r>
        <w:t>Une peine pécuniaire de 80 jours-amende sanctionne de manière adéquate la faute commise.</w:t>
      </w:r>
    </w:p>
    <w:p>
      <w:r>
        <w:rPr>
          <w:b/>
        </w:rPr>
        <w:t>E. 3.3</w:t>
      </w:r>
    </w:p>
    <w:p>
      <w:r>
        <w:t>L'appelant n'a pas remis en cause le montant du jour-amende, fixé en fonction de sa situation financière, qui ne s'est pas modifiée de manière significative depuis l'audience de première instance, de sorte qu'il sera confirmé.</w:t>
      </w:r>
    </w:p>
    <w:p>
      <w:r>
        <w:rPr>
          <w:b/>
        </w:rPr>
        <w:t>E. 4.1</w:t>
      </w:r>
    </w:p>
    <w:p>
      <w:r>
        <w:t>Vu l'issue de la procédure, l'appelant est débouté de ses conclusions en indemnisation.</w:t>
      </w:r>
    </w:p>
    <w:p>
      <w:r>
        <w:rPr>
          <w:b/>
        </w:rPr>
        <w:t>E. 4.2</w:t>
      </w:r>
    </w:p>
    <w:p>
      <w:r>
        <w:t>La décision du premier juge de mettre les frais d'avocat de la partie plaignante à la charge du prévenu est confirmée dans son principe (art. 433 CPP). L'appelant a en revanche raison de contester la mise à sa charge des frais d'avocat consentis par la partie adverse pour assurer sa propre défense en tant que prévenu. Il sera ainsi retranché de la note d'honoraires du conseil de l'intimé du 14 juin 2016, qui fait état d'environ 19h00 d'activité à un tarif de CHF 400.- de l'heure, 4h00 d'activité, qui concernent notamment l'audience d'instruction du 9 décembre 2015, lors de laquelle l'intimé a été entendu comme prévenu, et les démarches de son avocat en lien avec sa condamnation et la procédure de recours devant la CPR, initiée par l'appelant. C'est par ailleurs à raison que l'appelant conteste la mise à sa charge de la TVA, vu le domicile à l'étranger de l'intimé. En définitive, c'est une indemnité de CHF 6'056.- (15h00 à CHF 400.- plus CHF 56.- de débours) qui est mise à la charge de l'appelant au titre de l'art. 433 CPP.</w:t>
      </w:r>
    </w:p>
    <w:p>
      <w:r>
        <w:t>- 10/13 - P/16524/2014</w:t>
      </w:r>
    </w:p>
    <w:p>
      <w:r>
        <w:rPr>
          <w:b/>
        </w:rPr>
        <w:t>E. 5</w:t>
      </w:r>
    </w:p>
    <w:p>
      <w:r>
        <w:t>L'appelant, qui succombe pour l'essentiel, supportera les frais de la procédure envers l'Etat (art. 428 CPP).</w:t>
      </w:r>
    </w:p>
    <w:p>
      <w:r>
        <w:t>* * * * *</w:t>
      </w:r>
    </w:p>
    <w:p>
      <w:r>
        <w:t>- 11/13 - P/16524/2014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