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AARP/86/2018 vom 16. März 2018</w:t>
      </w:r>
    </w:p>
    <w:p>
      <w:r>
        <w:t>GE Cour de justice, 2018-03-16, FR</w:t>
      </w:r>
    </w:p>
    <w:p>
      <w:r>
        <w:rPr>
          <w:b/>
        </w:rPr>
        <w:t xml:space="preserve">Quelle: </w:t>
      </w:r>
      <w:r>
        <w:t>https://mcp.opencaselaw.ch/entscheid/ge_gerichte_AARP_86_2018</w:t>
      </w:r>
    </w:p>
    <w:p>
      <w:r>
        <w:t>FR: GE_GERICHTE AARP/86/2018 du 16 mars 2018</w:t>
      </w:r>
    </w:p>
    <w:p>
      <w:r>
        <w:t>IT: GE_GERICHTE AARP/86/2018 del 16 marzo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- 10/27 - P/23185/2015</w:t>
      </w:r>
    </w:p>
    <w:p>
      <w:r>
        <w:rPr>
          <w:b/>
        </w:rPr>
        <w:t>E. 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par. 3 de la Convention de sauvegarde des droits de l'homme et des libertés fondamentales du 4 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2.2.1.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- 11/27 - P/23185/2015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w:t>
      </w:r>
    </w:p>
    <w:p>
      <w:r>
        <w:t>- 12/27 - P/23185/2015 2.2.4.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2.2.5.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Basler Kommentar Strafrecht I : Art. 1-110 StGB, Jugendstrafgesetz, 3e éd., Bâle 2013, n. 83 ad art. 11). 2.3.1.1. L'art. 285 CP punit d'une peine privative de liberté de trois ans au plus ou d'une peine pécuniaire, notamment celui qui, en usant de violence ou de menace, empêche un fonctionnaire de faire un acte entrant dans ses fonctions, les contraint à faire un tel acte ou s'est livré à des voies de fait sur lui pendant qu'il y procédait.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vol. II,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de l'art. 285 ch. 1 CP, l'auteur se livre à des voies de fait sur une autorité, un membre d'une autorité ou un fonctionnaire pendant qu'ils procèdent à un acte entrant dans leurs fonctions. Le membre de l'autorité ou le</w:t>
      </w:r>
    </w:p>
    <w:p>
      <w:r>
        <w:t>- 13/27 - P/23185/2015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2.3.1.2. Un concours parfait est envisageable entre les art. 285 et 122 ss CP (B. CORBOZ, op. cit., n. 29 ad art. 285 ; AARP/46/2018 du 9 février 2018 consid. 2.4). L'injure peut quant à elle entrer en concours réel avec l'art. 285 CP (A. MACALUSO / L. MOREILLON / N. QUELOZ [éds], Commentaire romand, Code pénal II, vol. II, Partie spéciale : art. 111-392 CP, Bâle 2017, n. 59 ad art. 285 ; M. DUPUIS / L. MOREILLON / C. PIGUET / S. BERGER / M. MAZOU / V. RODIGARI [éds], Code pénal - Petit commentaire, 2e éd., Bâle 2017, n. 23 ad art. 49). En revanche, l'art. 285 CP, qui comporte déjà l'idée de la menace, absorbe l'art. 180 CP, alors que l'art. 286 CP est subsidiaire par rapport à l'art. 285 CP, faute de violence, menace ou voies de fait (A. MACALUSO / L. MOREILLON / N. QUELOZ [éds], op. cit., n. 58 ad art. 285 ; M. DUPUIS / L. MOREILLON / C. PIGUET / S. BERGER / M. MAZOU / V. RODIGARI [éds], op. cit., n. 24 ad art. 49 ; S. TRECHSEL / M. PIETH [éds], Schweizerisches Strafgesetzbuch : Praxiskommentar, 2e édition, Zurich 2013, n. 16 ad art. 285 ; B. CORBOZ, op. cit., n. 26 et 27 ad art. 285). 2.3.1.3. L'unité naturelle d'actions existe lorsque des actes séparés procèdent d'une décision unique et apparaissent objectivement comme des événements formant un ensemble en raison de leur relation étroite dans le temps et dans l'espace (ATF 132 IV 49 consid. 3.1.1-3.1.2.2 ; ATF 131 IV 83 consid. 2.1.2-2.4.5 ; 119 IV 216 consid. 2f ; 118 IV 91 consid. 4a ; 111 IV 144 consid. 3b ; arrêts du Tribunal fédéral 6B_310/2014 du 23 novembre 2015 consid. 4.2 in SJ 2016 I 414 et 6S_397/2005 du 15 novembre 2005 consid. 2.3.2.). Il ne peut y avoir de concours réel que si les différents actes commis ne forment aucune unité d'action au sens de ces définitions</w:t>
      </w:r>
    </w:p>
    <w:p>
      <w:r>
        <w:t>- 14/27 - P/23185/2015 (M. DUPUIS / L. MOREILLON / C. PIGUET / S. BERGER / M. MAZOU / V. RODIGARI (éds), op. cit., n. 9 ad art. 49). 2.3.2. Selon l'art. 123 ch. 1 CP, celui qui, intentionnellement, aura fait subir à une personne une autre atteinte à l'intégrité corporelle ou à la santé que grave sera, sur plainte, puni d'une peine privative de liberté de trois ans au plus ou d'une peine pécuniaire.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L'art. 123 CP décrit une infraction de nature intentionnelle. Le dol éventuel suffit (ATF 119 IV 1 consid. 5a).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- 15/27 - P/23185/2015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2.3.3. Selon l'art. 177 CP, celui qui aura, par la parole, l'écriture, l'image, le geste ou par des voies de fait, attaqué autrui dans son honneur sera puni d'une peine pécuniaire de 90 jours-amende au plus.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L'art. 177 al. 2 CP permet au juge d'exempter l'auteur d'une injure de toute peine si l'injurié a directement provoqué l'injure par une conduite répréhensible.</w:t>
      </w:r>
    </w:p>
    <w:p>
      <w:r>
        <w:t>- 16/27 - P/23185/2015 2.3.4. L'art. 286 CP réprime celui qui aura empêché notamment un fonctionnaire d'accomplir un acte entrant dans ses fonctions. 2.3.5.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vol. I, 3e éd., Berne 2010, n. 5 ad art. 180). D'autre part, il faut que la victime ait été effectivement alarmée ou effrayée. Elle doit craindre que le préjudice annoncé se réalise. 2.4.1. En l'espèce, la CPAR retient que les faits du ___ octobre 2015 se sont déroulés de la manière décrite par les parties plaignantes, dont les récits sont constants, concordants et corroborés par les déclarations des témoins I______ et H______ et le certificat médical produit par B______. Le récit fluctuant de l'appelant est quant à lui moins crédible. En particulier, les dénégations de l'appelant devant le premier juge, selon lesquelles il ne se serait pas montré violent avec les forces de l'ordre et ne se serait pas interposé dans le contrôle de la femme, qu'il n'aurait même pas remarqué, ne convainquent pas. Cette version est contredite par celle des plaignants et des témoins et est incompatible avec les aveux initiaux, ainsi qu'avec l'indignation clairement exprimée par l'appelant quant au comportement des agents envers la jeune femme ______, ce qui conforte la CPAR dans son appréciation des faits. 2.4.2. Il s'ensuit que l'appelant s'est interposé alors que les agents municipaux procédaient au contrôle d'identité d'une femme devant ______. Il s'est rapidement montré agité et a refusé de reculer, nonobstant les injonctions répétées des agents. Par la suite, l'agressivité de l'appelant, qui n'était certes pas sous l'influence de l'alcool, n'a cessé de s'accroître, si bien que C______ a tenté de l'éloigner de force à deux reprises, sans succès, avant que son collègue, interpellé par un mouvement offensif du prévenu, ne soit contraint de lui prêter main forte pour parvenir à maîtriser l'intéressé, empêchant de ce fait les deux agents de poursuivre leur contrôle sur la femme.</w:t>
      </w:r>
    </w:p>
    <w:p>
      <w:r>
        <w:t>- 17/27 - P/23185/2015 Par la suite, alors que les fonctionnaires lui ont demandé de se légitimer, il a refusé de collaborer, comme l'a indiqué le témoin H______, en tentant de se soustraire à leur emprise, et a continué à se montrer violent avec les plaignants, qui se sont finalement résolus à procéder à son interpellation. Après avoir rattrapé et menotté l’appelant, qui ne cessait d’asséner des coups de pied aux deux agents, ils l’ont fait monter dans leur véhicule pour le conduire au poste de police. Par ailleurs, en tentant de se protéger des coups de l’appelant, l'intimé B______ a été blessé au pouce droit. L'appelant ne saurait être suivi lorsqu'il affirme avoir agi pour se défendre d'un abus d'autorité et par légitime défense. D'ailleurs, sa plainte contre les policiers a été classée et les pièces médicales qu'il a fournies ne corroborent pas sa version. En effet, l'attestation du Dr E______ fait état d'une cicatrice sur son bras droit, mais ne porte aucune mention d'origine ni d'ancienneté, alors même qu'il ressort du constat effectué par le Dr F______ après les faits que l'appelant souffrait de simples rougeurs aux poignets et d'une éraflure au bras droit, qui peuvent aisément s'expliquer par le port des menottes et par son refus d'obtempérer. Enfin, une fois dans la voiture, alors qu'il était conduit au poste, l'appelant a tenu des propos menaçants envers les gendarmes ("je vais m'occuper de vous"). 2.4.3. Par son comportement, l'appelant a usé de la violence et de la menace envers les deux policiers et a entravé le contrôle d'identité d'un tiers ainsi que son propre contrôle et son interpellation, faits constitutifs d'infraction à l'art. 285 CP. 2.4.4. Dans la mesure où cette infraction prime celle d'empêchement d'accomplir un acte officiel au sens de l'art. 286 CP, l'appelant ne sera pas reconnu coupable de cette dernière infraction et le verdict de culpabilité modifié dans ce sens. 2.4.5. Il en va de même des menaces proférées dans la voiture, lesquelles sont absorbées par l'art. 285 CP. Il ne ressort du reste ni de la plainte des agents ni de leurs déclarations à la police et au Ministère public que les propos de l’appelant les auraient d’une quelconque manière effrayés, de sorte que l'une des conditions de l'art. 180 CP n'est pas réalisée. En outre, l’ordonnance pénale valant acte d’accusation omet également toute mention matérielle relative à cet élément constitutif objectif, qui ne saurait donc être considéré comme réalisé également pour ce motif, conformément au principe de l’accusation. Aussi, l’appelant se verra acquitté du chef de menaces et son appel sera partiellement admis sur ce point également.</w:t>
      </w:r>
    </w:p>
    <w:p>
      <w:r>
        <w:t>- 18/27 - P/23185/2015 2.4.6. S'agissant de qualifier les lésions causées aux plaignants, les coups de pied portés au niveau des tibias de B______ et du bas ventre de C______ entrent encore dans la définition des voies de fait telle que consacrée à l'art. 285 CP, lesquelles doivent revêtir une certaine intensité à teneur de la jurisprudence afférente à cette disposition. En revanche, la blessure au pouce de B______ va au-delà, dès lors qu'à teneur du certificat médical produit, il a porté une attelle et a été mis en incapacité de travail totale durant cinq jours, laquelle s’est prolongée, selon ses déclarations, encore trois mois, la lésion s’étant finalement avérée être une déchirure partielle du ligament. Plus d’un an après les faits, il souffrait encore. Si l’appelant, admettant que cela soit possible, a certes provoqué cette lésion en tentant de se dégager de l’emprise des plaignants, il n’en demeure pas moins qu’en agissant ainsi, il ne pouvait qu’envisager et accepter que ses coups étaient de nature à provoquer des lésions plus importantes, de sorte que des lésions corporelles simples, à tout le moins, par dol éventuel, doivent être retenues en sus. 2.4.7. Finalement, les plaignants ont indiqué que l'appelant les avait traités d'"imbéciles" et leur avait reproché de se droguer, d'user de leur autorité et de se comporter comme des animaux, précisant qu'ils manquaient d'éducation. L'appelant reconnaît avoir estimé que les policiers étaient sous l'effet de médicaments, voire de drogue, durant leur intervention, ce qu'il n'avait pas manqué de leur faire remarquer, tout comme le fait de leur avoir dit que leurs comportements "convenaient" à des drogués ou des imbéciles. Il paraît ainsi plus que vraisemblable que l'appelant leur a également signifié qu'ils usaient de leur autorité et manquaient d'éducation, propos eux-aussi attentatoires à l'honneur, tant il a fait état de son animosité à leur égard, allant même jusqu'à reprendre une locution identique lorsqu'il a été entendu par la police, en ce que les agents s'étaient comportés "comme des animaux". Il ne fait aucun doute pour la CPAR que les termes utilisés constituent un jugement de valeur objectivement propre à attenter à l'honneur des plaignants, de sorte que la preuve libératoire est exclue. Au vu du contexte particulièrement conflictuel entre les parties, il y a tout lieu d'admettre que l'appelant, en colère, a choisi ces mots pour rabaisser et offenser les plaignants, malgré la prétendue divergence de langues dont il tente de se prévaloir, étant précisé que C______ et I______ ont indiqué s'être exprimés en anglais avec le prévenu. Ces éléments sont suffisants pour constituer l'infraction à l'art. 177 CP. En outre, la Cour de céans retient que la conduite des fonctionnaires a fait l'objet d'une procédure distincte P/______, laquelle a été classée par une ordonnance,</w:t>
      </w:r>
    </w:p>
    <w:p>
      <w:r>
        <w:t>- 19/27 - P/23185/2015 confirmée par la Chambre pénale de recours, de sorte que l'appelant ne saurait être exempté de peine au sens de l'art. 177 al. 2 CP. L'appel de A______ sur ce point est partant rejeté et le jugement entrepris confirmé. Au surplus, les autres arguments développés par l'appelant, qui tente de démontrer la culpabilité des plaignants, font également l'objet de la P/______, si bien qu'il n'appartient pas à la CPAR de les examiner plus en avant. 2.4.8. Aussi, au regard des considérants qui précèdent, le verdict de culpabilité sera confirmé en tant qu'il a reconnu l'appelant coupable de lésions corporelles simples, d'injure et de violence ou menace contre les autorités et les fonctionnaires pour les faits du ___ octobre 2015 et annulé s'agissant des infractions d'empêchement d'accomplir un acte officiel et de menaces.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w:t>
      </w:r>
    </w:p>
    <w:p>
      <w:r>
        <w:t>- 20/27 - P/23185/2015 3.2.1.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3.2.2. L'ancien droit est donc applicable.</w:t>
      </w:r>
    </w:p>
    <w:p>
      <w:r>
        <w:rPr>
          <w:b/>
        </w:rPr>
        <w:t>E. 3.3</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Selon l’art. 42 al. 4 aCP,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w:t>
      </w:r>
    </w:p>
    <w:p>
      <w:r>
        <w:rPr>
          <w:b/>
        </w:rPr>
        <w:t>E. 3.4.4</w:t>
      </w:r>
    </w:p>
    <w:p>
      <w:r>
        <w:t>p. 191). L'art. 106 al. 3 CP prescrit au juge de fixer le montant de l'amende et la quotité de la peine privative de liberté de substitution en tenant compte de la situation de l'auteur, afin que la peine corresponde à la faute commise.</w:t>
      </w:r>
    </w:p>
    <w:p>
      <w:r>
        <w:t>- 21/27 - P/23185/2015</w:t>
      </w:r>
    </w:p>
    <w:p>
      <w:r>
        <w:rPr>
          <w:b/>
        </w:rPr>
        <w:t>E. 3.6</w:t>
      </w:r>
    </w:p>
    <w:p>
      <w:r>
        <w:t>En l'espèce, la faute de l'appelant est d'une certaine gravité. Il s'en est pris au bon fonctionnement des autorités publiques ainsi qu'à leur intégrité corporelle. A cela s'ajoutent encore les injures, qui reflètent son mépris à l'égard des forces de l'ordre. Le premier juge a, à juste titre, qualifié la collaboration de l'appelant à l'instruction de mauvaise et sa prise de conscience d'inexistante, dès lors qu'il continue à rejeter la responsabilité de ses actes sur les policiers, qui ne faisaient qu'accomplir leur travail, et à se dépeindre comme une victime. Aucune circonstance atténuante au sens de l'art. 48 CP n'est réalisée ni d'ailleurs plaidée. La situation personnelle de l'appelant n'est pas un facteur à décharge. Il a un antécédent, cependant non spécifique. Il se justifie de condamner l'appelant à une peine pécuniaire pour les infractions entrant en concours, y compris la violation grave des règles de la circulation routière, tout en tenant compte des acquittements partiels prononcés pour l'empêchement d'accomplir un acte officiel et les menaces. Au vu de ce qui précède, l'appelant sera condamné à une peine-pécuniaire de 60 jours-amende à CHF 30.- l'unité, montant que ce dernier ne conteste pas et qui correspond à sa situation personnelle et économique ainsi qu'à sa condamnation du ___ avril 2014, sous déduction de la détention subie avant jugement. Le montant de l'amende sera ramené à CHF 300.-, dans le respect de la jurisprudence, en tant que sanction immédiate et secondaire par rapport à la peine principale prononcée. La peine privative de liberté de substitution sera quant à elle fixée à trois jours. Le jugement attaqué sera réformé sur ces points. Le bénéfice du sursis, dont les conditions sont réalisées, est acquis à l'appelant (art. 391 al. 2 CPP). La durée du délai d'épreuve, fixé à trois ans, ne prête pas flanc à la critique (art. 44 al. 1 CP), l'appelant persistant à nier le caractère répréhensible de ses actes.</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w:t>
      </w:r>
    </w:p>
    <w:p>
      <w:r>
        <w:t>- 22/27 - P/23185/2015 (arrêts du Tribunal fédéral 6B_620/2016 du 17 mai 2017 consid. 2.1.1 ; 6B_136/2016 du 23 janvier 2017 consid. 4.1.2).</w:t>
      </w:r>
    </w:p>
    <w:p>
      <w:r>
        <w:t>4.2.1. En l'espèce, l'appelant, qui succombe partiellement, sera condamné aux deux tiers des frais de la procédure d'appel, lesquels comprennent un émolument de CHF 2'000.-, le solde étant laissé à la charge de l'Etat.</w:t>
      </w:r>
    </w:p>
    <w:p>
      <w:r>
        <w:t>4.2.2. Compte tenu des acquittements prononcés en appel, mais également de ceux de menaces concernant D______ et de violation de domicile jugés par le premier juge, il y a lieu de revoir la répartition des frais de première instance, en ce que l'appelant sera condamné à la moitié de ces frais.</w:t>
      </w:r>
    </w:p>
    <w:p>
      <w:r>
        <w:t>Le solde de ces frais sera laissé à la charge de l'Etat.</w:t>
      </w:r>
    </w:p>
    <w:p>
      <w:r>
        <w:rPr>
          <w:b/>
        </w:rPr>
        <w:t>E. 5.1</w:t>
      </w:r>
    </w:p>
    <w:p>
      <w:r>
        <w:t>Aux termes de l'art. 436 al. 1 CPP, les prétentions en indemnités et en réparation du tort moral dans la procédure de recours sont régies par les art. 429 à 434 CPP. 5.2.1. Selon l'art. 429 al. 1 CPP, si le prévenu est acquitté totalement ou en partie ou s'il bénéficie d'une ordonnance de classement, il a droit à : une indemnité pour le dommage économique subi au titre de sa participation obligatoire à la procédure pénal (lit. b) ; une réparation du tort moral subi en raison d'une atteinte particulièrement grave à sa personnalité, notamment en cas de privation de liberté (lit. c). 5.2.2. L'art. 429 al. 1 let. b CPP vise notamment les frais liés à la procédure, comme les frais de déplacement ou de logement (arrêt du Tribunal fédéral 6B_928/2014 du</w:t>
      </w:r>
    </w:p>
    <w:p>
      <w:r>
        <w:rPr>
          <w:b/>
        </w:rPr>
        <w:t>E. 5.3</w:t>
      </w:r>
    </w:p>
    <w:p>
      <w:r>
        <w:t>En l'espèce, les acquittements partiels de l'appelant des chefs de menaces contre D______, de violation de domicile, d'empêchement d'accomplir un acte officiel et de menaces contre les fonctionnaires lui ouvrent le droit à une indemnisation au sens de l'art. 429 al. 1 CPP dans cette mesure.</w:t>
      </w:r>
    </w:p>
    <w:p>
      <w:r>
        <w:rPr>
          <w:b/>
        </w:rPr>
        <w:t>E. 5.3.1</w:t>
      </w:r>
    </w:p>
    <w:p>
      <w:r>
        <w:t>L'appelant réclame CHF 690.- correspondant à ses frais de déplacement et de logement pour assister aux audiences fixées par le Ministère public, le Tribunal de police et la CPAR. Cette prétention sera rejetée, dans la mesure où l'appelant aurait de toute façon dû se rendre à ces audiences, justifiées par l'instruction de la cause sur la question de la</w:t>
      </w:r>
    </w:p>
    <w:p>
      <w:r>
        <w:t>- 24/27 - P/23185/2015 violence ou menace contre les autorités ou les fonctionnaires, des lésions corporelles simples, de l'injure et de la violation grave des règles de la circulation routière, dont il est reconnu coupable.</w:t>
      </w:r>
    </w:p>
    <w:p>
      <w:r>
        <w:rPr>
          <w:b/>
        </w:rPr>
        <w:t>E. 5.3.2</w:t>
      </w:r>
    </w:p>
    <w:p>
      <w:r>
        <w:t>Compte tenu de la peine pécuniaire prononcée, dont la quotité demeure supérieure au jour de détention subi avant jugement, nonobstant les acquittements supplémentaires, il n'y a pas de place pour son indemnisation, ce qui entraîne le rejet des prétentions de l'appelant à ce titre. * * * * *</w:t>
      </w:r>
    </w:p>
    <w:p>
      <w:r>
        <w:t>- 25/27 - P/23185/2015</w:t>
      </w:r>
    </w:p>
    <w:p>
      <w:r>
        <w:rPr>
          <w:b/>
        </w:rPr>
        <w:t>E. 10</w:t>
      </w:r>
    </w:p>
    <w:p>
      <w:r>
        <w:t>mars 2016 consid. 4.1.1 non reproduit in ATF 142 IV 163 et les références).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du 10 mars 2016 consid. 4.1.2 non reproduit in ATF 142 IV 163 et les références). 5.2.3.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w:t>
      </w:r>
    </w:p>
    <w:p>
      <w:r>
        <w:t>- 23/27 - P/23185/2015 Concernant l'art. 429 al. 1 let. c CPP, l'imputation de la détention au sens de l'art. 431 al. 2 CPP prime l'indemnisation pour la détention subie, si bien qu'il ne devrait en principe pas exister d'indemnité (N. SCHMID, Schweizerische Strafprozessordnung : Praxiskommentar, 2e éd., Zurich 2013, n. 9 ad art. 429 ; N. SCHMID, Handbuch des schweizerischen Strafprozessrechts, 2e éd., Zurich/St-Gall 2013, n. 1814 p. 811) A teneur de l'art. 51 CP, le juge impute sur la peine la détention avant jugement subie par l'auteur dans le cadre de l'affaire qui vient d'être jugée ou d'une autre procédure. Un jour de détention correspond à un jour-amende (art. 51 2ème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(ACPR/585/2014 du 9 décembre 2014 consid. 3.2.1). En d'autres termes,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