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AARP/85/2020 vom 21. Februar 2020</w:t>
      </w:r>
    </w:p>
    <w:p>
      <w:r>
        <w:t>GE Cour de justice, 2020-02-21, FR</w:t>
      </w:r>
    </w:p>
    <w:p>
      <w:r>
        <w:rPr>
          <w:b/>
        </w:rPr>
        <w:t xml:space="preserve">Quelle: </w:t>
      </w:r>
      <w:r>
        <w:t>https://mcp.opencaselaw.ch/entscheid/ge_gerichte_AARP_85_2020</w:t>
      </w:r>
    </w:p>
    <w:p>
      <w:r>
        <w:t>FR: GE_GERICHTE AARP/85/2020 du 21 février 2020</w:t>
      </w:r>
    </w:p>
    <w:p>
      <w:r>
        <w:t>IT: GE_GERICHTE AARP/85/2020 del 21 febbraio 2020</w:t>
      </w:r>
    </w:p>
    <w:p>
      <w:pPr>
        <w:pStyle w:val="Heading2"/>
      </w:pPr>
      <w:r>
        <w:t>Erwägungen</w:t>
      </w:r>
    </w:p>
    <w:p>
      <w:r>
        <w:rPr>
          <w:b/>
        </w:rPr>
        <w:t>E. 10</w:t>
      </w:r>
    </w:p>
    <w:p>
      <w:r>
        <w:t>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w:t>
      </w:r>
    </w:p>
    <w:p>
      <w:r>
        <w:rPr>
          <w:b/>
        </w:rPr>
        <w:t>E. 14</w:t>
      </w:r>
    </w:p>
    <w:p>
      <w:r>
        <w:t>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w:t>
      </w:r>
    </w:p>
    <w:p>
      <w:r>
        <w:t>- 17/31 - P/6468/2017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L'obligation faite par l'art. 344 CPP au tribunal d'informer les parties qu'il entend s'écarter de l'appréciation juridique que porte le ministère public sur l'état de fait est indépendante du fait que la nouvelle appréciation juridique est de nature à entraîner une condamnation plus ou moins sévère. L'art. 344 CPP peut être invoqué par la juridiction d'appel (arrêt du Tribunal fédéral 6B_445/2016 du 5 juillet 2017 consid. 4.1 et les références). 2.5.1. En l'espèce, l'appel est recevable. Le 1er juin 2017, lors de sa première audition dans le cadre de la procédure laquelle s'est déroulée à la police, l'appelant a exprimé le souhait que les actes judiciaires en lien avec la présente procédure lui soient notifiés à l'adresse du B______ sis à Berne. Son annonce d'appel du 20 avril 2019 porte d'ailleurs l'en-tête de cette association, à l'instar de plusieurs courriers signés de sa main. Il ressort néanmoins du dossier que plusieurs courriers ont été notifiés aux avocats en l'Etude desquels l'appelant avait élu domicile, ainsi qu'à son adresse privée à M______ (GE), de sorte que plusieurs adresses apparaissaient au dossier, ce qui a vraisemblablement créé une confusion auprès des autorités, étant précisé que le conseil intervenu en 1ère instance a cessé d'occuper dès le 17 avril 2019. C'est sans doute ce qui explique que le jugement motivé du Tribunal de police du 10 avril 2019 a été expédié le 30 avril 2019 à l'adresse privée de l'appelant, lequel ne l'a jamais retiré. Or, en accord avec les principes rappelé ci-dessus, la notification du jugement motivé aurait dû intervenir à l'adresse de notification indiquée dès le début de la procédure par A______, soit à l'adresse du B______. Partant, il doit être retenu que le jugement a été valablement notifié au jour où le défenseur de l'appelant a pris connaissance du jugement considéré, soit le 6 juin 2019, date à laquelle il a consulté le dossier pour la première fois. Il découle de ce qui précède que la déclaration d'appel expédiée le lendemain a été déposée en temps utile et qu'il y avait dès lors lieu d'entrer en matière sur l'appel interjeté par A______. 2.5.2. L'appelant conteste en vain la qualité de partie plaignante de C______. Celui- ci s'est valablement constitué partie plaignante notamment dans sa plainte du 23 mars 2017, l'indication "je dépose une plainte pénale" étant sans équivoque, constitution</w:t>
      </w:r>
    </w:p>
    <w:p>
      <w:r>
        <w:t>- 18/31 - P/6468/2017 qu'il a confirmée lors de l'audience qui s'est tenue par-devant le MP le 6 septembre 2017, qualité qui lui a été reconnue en première instance, C______ étant, en outre, expressément mentionné sur la procuration donnée à son avocat. Il apparaît ainsi que c'est par inadvertance (et non en raison d'un classement implicite) que le MP a omis de notifier l'ordonnance pénale du 4 décembre 2017 à C______, ce qui est confirmé par l'envoi à ce dernier de l'avis de reprise de l'instruction du 31 juillet 2018 et par sa participation à l'audience de première instance en qualité de partie plaignante laquelle n'a pas été remise en question à cette occasion. En définitive, la CPAR considère que C______ dispose de la qualité de partie plaignante depuis le début de la procédure. S'estimant lésés par le courriel incriminé et, au vu de son contenu, tant C______ que D______ SA, dont il est l'administrateur président, étaient légitimés à se constituer partie plaignante. 2.5.3. L'appelant soutient, au vu du contenu de l'ordonnance pénale valant acte d'accusation, la violation du principe de l'accusation en lien avec l'infraction de tentative de contrainte retenue par le TP. Il ne peut être suivi. L'ordonnance pénale retient dans la partie "en fait" : "Il est reproché à A______ d'avoir, à Genève, le 18 mars 2017 envoyé un courrier électronique à C______, administrateur président et directeur de la D______ SA dans lequel il lui disait que "s'il n'enlevait pas de suite et discrètement les J______ noirs de toute l'offre de ses produits" il "appellerait au boycott de ses ______ [commerces] et le dénoncerait au Procureur de la République pour violation de l'art. 261CP du Code pénal Suisse, demanderait son exclusion de confréries et d'autres associations dont il faisait partie, au besoin appellerait à manifester par sit-in devant ses ______ [commerces]". Dans celle "en droit", il est notamment indiqué : "Il ressort en effet du contenu du courrier électronique incriminé que le but visé par celui-ci était d'imposer unilatéralement la volonté d'une partie à l'autre sans entrer dans une aucune forme de dialogue. Il ressortait en effet de cet email que C______ devait "tout de suite" et "discrètement" enlever son J______ noir de sa marchandise sous peine de se voir infliger un certain nombre de sanctions qui l'ont alarmé et apeuré. Le fait que le prévenu indique agir au nom du B______ ne modifie pas son intention d'apeurer son interlocuteur pour obtenir de lui le retrait du J______ noir de sa marchandise." En début d'audience, le TP a informé les parties de ce qu'il entendait analyser les faits également avec la qualification de tentative de contrainte.</w:t>
      </w:r>
    </w:p>
    <w:p>
      <w:r>
        <w:t>- 19/31 - P/6468/2017 La CPAR considère que les éléments mentionnés dans l'ordonnance pénale circonscrivent de manière adéquate l'objet du procès et sont suffisamment précis pour être analysés sous l'angle de la tentative de contrainte, ce d'autant plus qu'il s'agit de la seule infraction entrant en ligne de compte au vu des règles sur le concours imparfait. A l'égard des faits reprochés, le prévenu a pu s'exprimer et faire valoir ses moyens de défense tout au long de la procédure et, s'agissant de l'infraction envisagée, il a pu en faire de même, tant par-devant le TP que par-devant la CPAR. Contrairement à l'avis du prévenu, il n'était pas nécessaire que l'ordonnance pénale mentionne expressément le fait d'user d'un moyen de contrainte illicite ni même de relever expressément l'illicéité d'un moyen de contrainte. Il suffisait, ce qui est le cas en l'espèce, qu'un tel moyen y soit décrit et qu'il soit effectivement illicite (cf. infra consid. 3.3.1, 3.3.2). Retenir que le contenu de l'ordonnance pénale ne permettait pas de l'analyser sous l'angle de la tentative de contrainte reviendrait à faire preuve de formalisme excessif. La CPAR est ainsi du même avis que le TP, à savoir qu'il y a lieu d'examiner les faits sous l'angle de l'infraction prévue à l'art. 181 CP. 3. 3.1.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w:t>
      </w:r>
    </w:p>
    <w:p>
      <w:r>
        <w:t>- 20/31 - P/6468/2017 analogues à ceux qui sont cités expressément par la loi (ATF 141 IV 437 consid. 3.2.1 p. 440 s.; ATF 137 IV 326 consid. 3.3.1 p. 328).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ATF 137 IV 326 consid. 3.3.1 p. 328; 120 IV 17 consid. 2a/bb p. 20). Ainsi, menacer d'une plainte pénale pour une infraction que rien ne permet sérieusement de soupçonner est un moyen en soi inadmissible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6B_124/2017 du 27 octobre 2017 consid. 2.1; ATF 120 IV</w:t>
      </w:r>
    </w:p>
    <w:p>
      <w:r>
        <w:rPr>
          <w:b/>
        </w:rPr>
        <w:t>E. 17</w:t>
      </w:r>
    </w:p>
    <w:p>
      <w:r>
        <w:t>consid. 2a/bb p. 20 et les arrêts cités; au sujet de la contrainte susceptible d'être réalisée par un commandement de payer, cf. arrêts 6B_1188/2017 du 5 juin 2018 consid. 3.1; 6B_153/2017 du 28 novembre 2017 consid. 3.1), étant rappelé que nul ne peut se faire justice par lui-même et que l'Etat a le monopole de la contrainte (Bernard Corboz, 2002, Les infractions en droit suisse, vol. I, n. 26 ad art. 181 CP). Ainsi, l'emploi d'un moyen de contrainte prévu par l'art. 181 CP ne signifie pas déjà que le recours à la contrainte soit illicite ; l'illicéité doit résulter de l'inadéquation entre les moyens employés et le but poursuivi (ATF 122 IV 322 consid. 2a ; Vera Delnon/Bernhard Rüdy, Commentaire bâlois, 2003, n. 49 ad art. 181 CP ; Bernard Corboz, 2010, Les infractions en droit suisse, vol. I, n. 19 ss ad art. 181 CP). Lorsque des menaces au sens de l'art. 180 CP ont été un moyen de pression pour obliger autrui à faire, à ne pas faire ou à laisser faire, on se trouve en présence d'un concours imparfait, l'art. 181 CP étant seul applicable (ATF 99 IV 216 consid. 1.b). Selon la jurisprudence, le bien juridiquement protégé par l'art. 181 CP est la liberté d'action, plus particulièrement la libre formation et le libre exercice de la volonté (ATF 137 IV 326 consid. 3.6 p. 332; 134 IV 216 consid. 4.4.3 p. 221; 129 IV 6 consid. 2.1 p. 8 s.; 119 IV 301 consid. 3a p. 306; 108 IV 165 consid. 3 p. 167). Sur le plan subjectif, il faut que l'auteur ait agi intentionnellement, c'est-à-dire qu'il ait voulu contraindre la victime à adopter le comportement visé en étant conscient de l'illicéité de son comportement; le dol éventuel suffit (ATF 120 IV 17 consid. 2c p. 22).</w:t>
      </w:r>
    </w:p>
    <w:p>
      <w:r>
        <w:t>- 21/31 - P/6468/2017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3.2. Selon l'art. 22 al. 1 CP, le juge peut atténuer la peine si l'exécution d'un crime ou d'un délit n'est pas poursuivie jusqu'à son terme ou que le résultat nécessaire à la consommation de l'infraction ne se produit pas ou ne pouvait pas se produire. Lorsque la victime ne se laisse pas intimider et n'adopte pas le comportement voulu par l'auteur, ce dernier est punissable de tentative de contrainte (art. 22 al. 1 CP; ATF 129 IV 262 consid. 2.7 p. 270; ATF 106 IV 125 consid. 2b p. 12). 3.3. En l'espèce, il y a lieu d'analyser les faits sous l'angle de la tentative de contrainte (art. 181 CP et art. 22 al. 1 CP), les parties plaignantes n'ayant pas donné suite aux exigences formulées par le prévenu. 3.3.1. Il s'agit, tout d'abord de déterminer si le prévenu a utilisé un moyen de contrainte et, cas échéant, si celui-ci était illicite. En l'espèce, le prévenu a indiqué à C______, dans son courriel incriminé du 18 mars 2017, que si les J______ noirs n'étaient pas enlevés de suite et discrètement de toute l'offre de ses produits, il appellerait au boycott de ses ______ [commerces], le dénoncerait au procureur pour violation de l'art. 261 CP, demanderait son exclusion de confréries et d'autres associations dont il faisait partie, et, au besoin appellerait à manifester par sit-in devant ses ______ [commerces]. Un délai pour s'exécuter était fixé au 20 mars 2017. La CPAR retient que ces quatre conséquences annoncées en cas de non retrait de la pâtisserie (appel au boycott, dépôt d'une plainte pénale, demande d'exclusion et appel à manifester par sit-in) constituaient des moyens de pression psychologique car elles annonçaient un dommage futur susceptible de se réaliser par la seule volonté du prévenu. Elles ont d'ailleurs occasionné à C______, selon ses dires, de la peur et de la terreur. Elles représentaient de plus un dommage sérieux car les menaces du prévenu, au vu des inconvénients importants qu'elles pouvaient générer à C______ et à son entreprise, étaient clairement susceptibles de l'entraver dans sa liberté de décision ou d'action. En effet, l'appel au boycott, la demande d'exclusion et l'appel à manifester par sit-in, s'ils avaient été mis en œuvre, auraient sans doute occasionné</w:t>
      </w:r>
    </w:p>
    <w:p>
      <w:r>
        <w:t>- 22/31 - P/6468/2017 un dommage économique aux parties plaignantes, crainte dont a expressément fait part C______. En conséquence, le prévenu a proféré des menaces de dommages sérieux dans son courriel daté du 18 mars 2017. Il a donc fait usage d'un moyen de contrainte. 3.3.2. S'agissant du caractère illicite ou non des moyens de contrainte la CPAR relève les éléments suivants : Au sujet du boycott, le Tribunal fédéral a indiqué, dans un arrêt sur la notion et la licéité du boycott d'assujettissement (ATF 85 II 489 consid. 3) que ce moyen d'agir n'est pas illicite dans tous les cas. Au contraire, il constitue, dans la vie économique, un moyen de lutte admissible en soi. Il devient illicite, en revanche, si le but visé ou les moyens utilisés sont contraires au droit ou aux mœurs ou s'il existe une disproportion évidente entre l'avantage recherché par le boycotteur et le dommage causé au boycotté. Dans un autre arrêt relatif au droit des cartels (ATF 91 II 25 consid. 7), le Tribunal fédéral a jugé que le boycott est en principe illicite ; il n'est cependant pas contraire au droit s'il tend à défendre des intérêts légitimes manifestement prépondérants ; les mesures discriminatoires utilisées comme moyen pour atteindre un but reconnu légitime ne sont toutefois licites que dans la mesure où elles ne sont pas disproportionnées à ce but ; la preuve des faits propres à conférer un caractère licite au boycott incombe à l'auteur de celui-ci. Il ressort ainsi de la jurisprudence que le boycott est a priori illicite et doit, en toute hypothèse, pour être malgré tout légitime, rester proportionné. En cas d'action politique, le caractère illicite de la contrainte doit être examiné en tenant compte de l'intérêt public et des droits constitutionnels (ATF 119 IV 305 s. consid. b), notamment de la liberté d'expression (ATF 101 IV 172s. consid. 5). La jurisprudence a cependant tracé des limites à la faculté d'invoquer la défense d'intérêts légitimes : il faut que les moyens légaux aient été épuisés, que l'action paraisse à la fois nécessaire et proportionnée compte tenu de l'atteinte aux intérêts de tiers (ATF 129 IV 14s. consid. 3.3). A titre d'exemples, le blocus de centrales nucléaires à des fins de manifestation politique a été condamné (ATF 129 IV 11 consid. 2.5), de même que le blocage d'une autoroute par des grévistes (ATF 134 IV 216) (Bernard Corboz, 2010, op. cit, n. 31. p. 708). Dans un arrêt 4C_422/2004 au sujet de la licéité des moyens de combat dans les conflits collectifs du travail le Tribunal fédéral a indiqué (consid.4.5.4.1) qu'il découle du principe de la proportionnalité que les mesures collectives de combat ne sont licites qu'au titre d'ultima ratio (Frank Vischer, Streik und Aussperrung in der</w:t>
      </w:r>
    </w:p>
    <w:p>
      <w:r>
        <w:t>- 23/31 - P/6468/2017 Schweiz, in Wirtschaft und Recht, 33/1981, fasc. 2, p. 15; Wyler, op. cit., p. 495). Elles ne sont admissibles que si elles sont nécessaires pour atteindre le but auquel tend la lutte. La doctrine moderne écrit à ce propos que vaut en la matière le principe de la conduite du combat loyal (faire Kampfführung) (Stöckli, op. cit., n. 46 ad art. 357a CO; Portmann, op. cit., p. 65 in fine). Sont donc par exemple disproportionnés les moyens de combat faisant usage de la violence ou ceux qui portent atteinte aux biens de l'entreprise (Portmann, op. cit., p. 66; Stöckli, op. cit., n. 46 ad art. 357a CO ; Vischer, Streik und Aussperrung in der Schweiz, p. 16). Quelle que soit l'action envisagée, un moyen de contrainte aura ainsi toujours, s'il est disproportionné, un caractère illicite même si, a priori, son caractère peut être considéré comme étant licite. En l'espèce, la CPAR considère que le prévenu a agi de manière disproportionnée au vu de l'inadéquation entre les moyens employés et le but poursuivi. Même s'il considérait être légitimé à agir comme il l'a fait au vu de l'intérêt public de la lutte contre le racisme anti-noir – intérêt incontestable -, il n'empêche que le prévenu est allé au-delà de ce qui était admissible. Il n'a utilisé aucun moyen de droit pour parvenir à ses fins avant l'envoi de son courriel du 18 mars 2017, lequel constituait sa première démarche. Ses menaces de boycott, de manifestation par sit-in et d'exclusion d'association ou de confréries auraient eu, en cas de mise en œuvre, un impact négatif sur l'image des parties plaignantes ainsi que des répercussions économiques, ce que le prévenu a dû envisager. Cette façon de procéder n'était pas proportionnée compte tenu de l'atteinte aux intérêts de ces dernières. De plus, vu le très bref délai imparti à C______ pour qu'il s'exécute, les plaignants pouvaient craindre que le prévenu n'entendait pas solliciter une autorisation de manifester, condition nécessaire à toute manifestation, fusse-t-elle par sit-in. Le prévenu pouvait et devait agir différemment, par exemple en se limitant à solliciter le retrait de la pâtisserie et en engageant le dialogue avec C______. Il a cependant cherché à imposer unilatéralement sa volonté par des menaces de dommages sérieux et sommé C______ de s'exécuter sous deux jours, ce qui renforce le caractère inadéquat de sa démarche. Peu importe que d'autres faits s'étaient produits à cause de la pâtisserie concernée. Si le prévenu ou le B______ pensaient qu'il y avait un risque de déprédations des ______ [commerces] des parties plaignantes, ils pouvaient s'adresser aux forces de l'ordre afin d'éviter que de telles actions ne se produisent, ou à tout le moins, en s'adressant aux parties plaignantes, le faire d'une manière proportionnée.</w:t>
      </w:r>
    </w:p>
    <w:p>
      <w:r>
        <w:t>- 24/31 - P/6468/2017 En outre, la CPAR relève que le prévenu a cherché à soumettre les parties plaignantes à ce qu'il estimait devoir être fait. Or, la solution "extrajudiciaire" suivie par le prévenu relèvait de la justice propre. Le moyen était, partant, illicite. (ATF 6B_806/2009, consid. 3.2). La CPAR parvient ainsi à la conclusion que le prévenu a utilisé des moyens de contraintes illicites en étant conscient de l'illicéité de son comportement, à tout le moins par dol éventuel, vu son indifférence quant à la réalisation de l'infraction, seul comptant, à ses yeux, la légitimité de son combat. Partant, le verdict de culpabilité du chef de tentative de contrainte (art. 181 CP et art.</w:t>
      </w:r>
    </w:p>
    <w:p>
      <w:r>
        <w:rPr>
          <w:b/>
        </w:rPr>
        <w:t>E. 22</w:t>
      </w:r>
    </w:p>
    <w:p>
      <w:r>
        <w:t>al. 1 CP) prononcé par le TP sera confirmé. 4. 4.1.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4.2. En l'espèce, le code pénal en vigueur actuellement sera appliqué, celui-ci étant plus favorable, la peine pécuniaire étant limitée à 180 jours. 4.3.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- 25/31 - P/6468/2017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4.5. La faute du prévenu n'est pas négligeable. Il a cherché à s'en prendre à la liberté des parties plaignantes. Ses mobiles relèvent de la volonté d'imposer ce qu'il considérait adéquat aux dépens d'autrui, sans égard aux conséquences de ses actes. Il n'a pas cherché à discuter avec les parties plaignantes pour leur exposer son point de vue, avant de procéder comme il l'a fait. Il s'agit toutefois d'un acte ponctuel. Il n'est pas parvenu à ses fins mais ce indépendamment de sa volonté. Sa situation personnelle ne justifie pas ses agissements. Il a d'abord refusé de collaborer puis a admis avoir été l'auteur des faits reprochés, tout en contestant fermement le caractère illicite de ses agissements et en refusant d'en assumer la responsabilité à titre personnel. Il n'y a ainsi aucune prise de conscience, ce d'autant plus qu'il a déclaré, durant la procédure d'appel, qu'il agirait aujourd'hui de la même façon s'il était placé dans une situation identique. Aucun regret n'a été exprimé. Le prévenu n'a pas d'antécédents judiciaires, ce qui a toutefois un effet neutre sur la peine. Sa responsabilité pénale est entière. Aucune circonstance atténuante n'est réalisée, ni plaidée.</w:t>
      </w:r>
    </w:p>
    <w:p>
      <w:r>
        <w:t>- 26/31 - P/6468/2017 Au vu des éléments qui précèdent, la peine pécuniaire de 60 jours-amende, avec un montant du jour-amende à CHF 20.-, pour tenir compte de sa faute et de sa situation financière (art. 34 CP), telle que prononcée par le TP sera confirmée. Considérant que la présente condamnation est de nature à faire comprendre au prévenu le caractère illicite de ses actes, le pronostic n'est pas défavorable, de sorte que le sursis avec un délai d'épreuve de 3 ans prononcé en première instance sera également confirmé. 5. 5.1.1.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5.1.2. Les honoraires d'avocat doivent être proportionnés (N. SCHMID / D. JOSITSCH, op. cit., n. 7 ad art. 429 CPP)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w:t>
      </w:r>
    </w:p>
    <w:p>
      <w:r>
        <w:t>- 27/31 - P/6468/2017 rafprozessordnung - Jugendstrafprozessordnung, Basler Kommentar StPO/JStPO, 2e éd., Bâle 2014, n. 19 ad art. 429 CPP). 5.1.3.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5.1.4. L'indemnité fondée sur l'art. 433 CPP pour les dépenses obligatoires occasionnées par la procédure ne produit pas d'intérêts (ATF 143 IV 495 consid. 2.2.4. ; arrêt du Tribunal fédéral 6B_1008/2017 du 5 avril 2018 consid. 2.3 in fine). 5.2. En appel, les parties plaignantes obtiennent gain de cause de sorte qu'il se justifie de donner droit à leur demande d'indemnisation. L'indemnité afférente à la défense des parties plaignantes sera arrêtée à CHF 4'954.20.- correspondant à 11h30 d'activité au tarif horaire de CHF 400.- (CHF 4'600.-), plus TVA à 7.7% (CHF 354.20), sans intérêt moratoire compte tenue de la jurisprudence évoquée. 6. L'appelant, qui succombe, supportera les frais de la procédure envers l'État (art. 428 CPP). 7. 7.1.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- 28/31 - P/6468/2017</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7.2. En l’occurrence, l’état de frais produit par le conseil de l’appelant paraît adéquat et conforme aux dispositions et principes qui précèdent, de sorte qu’il sera admis sans en reprendre le détail, étant précisé qu'il sera ajouté 1 heure et 39 minutes pour tenir compte de la durée de l'audience d'appel.</w:t>
      </w:r>
    </w:p>
    <w:p>
      <w:r>
        <w:t>En conclusion, l'indemnité sera arrêtée à CHF 3'442.10 correspondant à 13 heures et 19 minutes d'activité au tarif de CHF 200.-/heure (CHF 2'633.30) plus la majoration forfaitaire de 20% (CHF 532.70) et l'équivalent de la TVA au taux de 7.7% en CHF 246.10. * * * * *</w:t>
      </w:r>
    </w:p>
    <w:p>
      <w:r>
        <w:t>- 29/31 - P/6468/2017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